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Reilly Carlonda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4,772</w:t>
            </w:r>
            <w:r>
              <w:rPr>
                <w:rFonts w:ascii="Times;serif" w:hAnsi="Times;serif"/>
                <w:color w:val="008000"/>
                <w:position w:val="7"/>
                <w:sz w:val="16"/>
                <w:sz w:val="20"/>
                <w:shd w:fill="FFFFFF" w:val="clear"/>
              </w:rPr>
              <w:t>(1)</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29,915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7,160</w:t>
            </w:r>
            <w:r>
              <w:rPr>
                <w:rFonts w:ascii="Times;serif" w:hAnsi="Times;serif"/>
                <w:color w:val="008000"/>
                <w:position w:val="7"/>
                <w:sz w:val="16"/>
                <w:sz w:val="20"/>
                <w:shd w:fill="FFFFFF" w:val="clear"/>
              </w:rPr>
              <w:t>(2)</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37,075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5,090</w:t>
            </w:r>
            <w:r>
              <w:rPr>
                <w:rFonts w:ascii="Times;serif" w:hAnsi="Times;serif"/>
                <w:color w:val="008000"/>
                <w:position w:val="7"/>
                <w:sz w:val="16"/>
                <w:sz w:val="20"/>
                <w:shd w:fill="FFFFFF" w:val="clear"/>
              </w:rPr>
              <w:t>(3)</w:t>
            </w:r>
          </w:p>
        </w:tc>
        <w:tc>
          <w:tcPr>
            <w:tcW w:w="4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42,165</w:t>
            </w:r>
          </w:p>
        </w:tc>
        <w:tc>
          <w:tcPr>
            <w:tcW w:w="10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4,704</w:t>
            </w:r>
            <w:r>
              <w:rPr>
                <w:rFonts w:ascii="Times;serif" w:hAnsi="Times;serif"/>
                <w:color w:val="008000"/>
                <w:position w:val="7"/>
                <w:sz w:val="16"/>
                <w:sz w:val="20"/>
                <w:shd w:fill="FFFFFF" w:val="clear"/>
              </w:rPr>
              <w:t>(4)</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46,869</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4,772 performance stock units deemed to have been earned by the Compensation and Human Capital Committee, the Committee, on July 27, 2026, with respect to the third tranche of the Performance Unit Award relating to adjusted ROIC granted to the reporting person on August 15, 2023, the 2023 Performance Unit Award, under the Kennametal Inc. 2020 Stock and Incentive Plan. On July 27, 2026, the Committee approved adjusted ROIC payout multiple at 200.0 percent for such tranche of the 2023 Performance Unit Award, vesting and actual distribution of these shares remain subject to the reporting persons continued employment with the Company through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7,160 performance stock units deemed to have been earned by the Committee on July 27,2026, with respect to the tranche of the 2023 Performance Unit Award relating to adjusted EBITDA margin, under the Kennametal Inc. 2020 Stock and Incentive Plan. On July 27,2026, the Committee approved adjusted EBITDA margin payout at 200.0 percent for such tranche of the 2023 Performance Unit Award, vesting and actual distribution of these shares remain subject to the reporting persons continued employment with the Company through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5,090 performance stock units deemed to have been earned by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4,704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 as attorney-in-fact for Carlonda Reilly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234"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985</Words>
  <Characters>5275</Characters>
  <CharactersWithSpaces>6165</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