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Bacchus Judith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752"/>
        <w:gridCol w:w="131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3,534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32,848.82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7,452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25,396.82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7,140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2,270.82 shares of common stock held in the Kennametal Inc. 401(k)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are subject to time-based vesting and are disbursed in three equal annual installments commencing on the first anniversary date of the grant date, subject to continued employment with the company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Judith L. Bacchus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2176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3546</Characters>
  <CharactersWithSpaces>4103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