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Reilly Carlonda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20" w:lineRule="auto"/>
        <w:rPr>
          <w:sz w:val="20"/>
          <w:szCs w:val="20"/>
          <w:color w:val="auto"/>
        </w:rPr>
      </w:pPr>
      <w:r>
        <w:rPr>
          <w:rFonts w:ascii="Times New Roman" w:cs="Times New Roman" w:eastAsia="Times New Roman" w:hAnsi="Times New Roman"/>
          <w:sz w:val="17"/>
          <w:szCs w:val="17"/>
          <w:color w:val="0000FF"/>
        </w:rPr>
        <w:t>525 WILLIAM PENN PLACE 33RD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KENNAMETAL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Vice President</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PITTSBURGH  PA</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15219</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12,013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33.123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25,143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$33.09 to $33.17, inclusive. The reporting person undertakes to provide to Kennametal Inc., any security holder of Kennametal Inc., or the staff of the Securities and Exchange Commission, upon request, full information regarding the number of shares sold at each separate price within the ranges set forth in this footnote (1) to this Form 4</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Michelle R. Keating,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Carlonda</w:t>
        <w:tab/>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Reilly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3234" TargetMode="External"/><Relationship Id="rId14" Type="http://schemas.openxmlformats.org/officeDocument/2006/relationships/hyperlink" Target="http://www.sec.gov/cgi-bin/browse-edgar?action=getcompany&amp;CIK=00000552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2026-06-03T10:48:20Z</dcterms:created>
  <dcterms:modified xsi:type="dcterms:W3CDTF">2026-06-03T10:48:20Z</dcterms:modified>
</cp:coreProperties>
</file>