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Keating Michelle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25"/>
        <w:gridCol w:w="449"/>
        <w:gridCol w:w="752"/>
        <w:gridCol w:w="1229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21,378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46,650.3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9,297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37,353.3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21,378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78.85 shares of common stock held in the Kennametal Inc. 401(k)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are subject to time-based vesting and are disbursed on the first anniversary date of the grant date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0038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3353</Characters>
  <CharactersWithSpaces>3888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