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Bacchus Judith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5,438</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10,051.54</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8,156</w:t>
            </w:r>
            <w:r>
              <w:rPr>
                <w:rFonts w:ascii="Times;serif" w:hAnsi="Times;serif"/>
                <w:color w:val="008000"/>
                <w:position w:val="7"/>
                <w:sz w:val="16"/>
                <w:sz w:val="20"/>
                <w:shd w:fill="FFFFFF" w:val="clear"/>
              </w:rPr>
              <w:t>(3)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18,207.54</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5,798</w:t>
            </w:r>
            <w:r>
              <w:rPr>
                <w:rFonts w:ascii="Times;serif" w:hAnsi="Times;serif"/>
                <w:color w:val="008000"/>
                <w:position w:val="7"/>
                <w:sz w:val="16"/>
                <w:sz w:val="20"/>
                <w:shd w:fill="FFFFFF" w:val="clear"/>
              </w:rPr>
              <w:t>(4)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24,005.54</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5,302</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29,307.54</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5,438 performance stock units deemed to have been earned by the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2,263.54 shares held in the Kennametal Inc.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8,156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5,798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5,302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Judith L. Bacchus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2176"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5359</Characters>
  <CharactersWithSpaces>6260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