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HICKTON DAWNE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6565 N MACARTHUR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Credits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credits become payable in common stock (i) in the event of a change of control of the company or (ii) on the date that the reporting person ceases (other than by death) to be a director ("retirement"), unless the reporting person has elected to receive the common stock represented by the stock credits following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Dawne S. Hickton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5135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3376</Characters>
  <CharactersWithSpaces>3937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