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28, 2026</w:t>
      </w:r>
    </w:p>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Kennametal Inc.</w:t>
      </w:r>
    </w:p>
    <w:p>
      <w:pPr>
        <w:pStyle w:val="TextBody"/>
        <w:bidi w:val="0"/>
        <w:spacing w:lineRule="auto" w:line="288" w:before="28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9921" w:type="dxa"/>
        <w:jc w:val="center"/>
        <w:tblInd w:w="0" w:type="dxa"/>
        <w:tblLayout w:type="fixed"/>
        <w:tblCellMar>
          <w:top w:w="28" w:type="dxa"/>
          <w:left w:w="28" w:type="dxa"/>
          <w:bottom w:w="28" w:type="dxa"/>
          <w:right w:w="28" w:type="dxa"/>
        </w:tblCellMar>
      </w:tblPr>
      <w:tblGrid>
        <w:gridCol w:w="686"/>
        <w:gridCol w:w="604"/>
        <w:gridCol w:w="604"/>
        <w:gridCol w:w="604"/>
        <w:gridCol w:w="604"/>
        <w:gridCol w:w="617"/>
        <w:gridCol w:w="109"/>
        <w:gridCol w:w="109"/>
        <w:gridCol w:w="109"/>
        <w:gridCol w:w="762"/>
        <w:gridCol w:w="762"/>
        <w:gridCol w:w="770"/>
        <w:gridCol w:w="109"/>
        <w:gridCol w:w="109"/>
        <w:gridCol w:w="109"/>
        <w:gridCol w:w="951"/>
        <w:gridCol w:w="951"/>
        <w:gridCol w:w="1352"/>
      </w:tblGrid>
      <w:tr>
        <w:trPr/>
        <w:tc>
          <w:tcPr>
            <w:tcW w:w="68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1-5318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25-0900168</w:t>
            </w:r>
          </w:p>
        </w:tc>
      </w:tr>
      <w:tr>
        <w:trPr/>
        <w:tc>
          <w:tcPr>
            <w:tcW w:w="3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        </w:t>
            </w:r>
          </w:p>
        </w:tc>
      </w:tr>
      <w:tr>
        <w:trPr/>
        <w:tc>
          <w:tcPr>
            <w:tcW w:w="3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525 William Penn 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3300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Pittsburgh,</w:t>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15219</w:t>
            </w:r>
          </w:p>
        </w:tc>
      </w:tr>
      <w:tr>
        <w:trPr/>
        <w:tc>
          <w:tcPr>
            <w:tcW w:w="3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(412) 248-8000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20" w:after="283"/>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100"/>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209"/>
        <w:gridCol w:w="1060"/>
        <w:gridCol w:w="1075"/>
        <w:gridCol w:w="424"/>
        <w:gridCol w:w="424"/>
        <w:gridCol w:w="426"/>
        <w:gridCol w:w="970"/>
        <w:gridCol w:w="970"/>
        <w:gridCol w:w="137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 Stock, par value $1.25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28, 2026, the Board of Directors of Kennametal Inc. declared a quarterly cash dividend of $.20 per share. The dividend is payable on August 25, 2026 to shareholders of record as of the close of business on August 11,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035" w:type="dxa"/>
        <w:jc w:val="left"/>
        <w:tblInd w:w="0" w:type="dxa"/>
        <w:tblLayout w:type="fixed"/>
        <w:tblCellMar>
          <w:top w:w="28" w:type="dxa"/>
          <w:left w:w="28" w:type="dxa"/>
          <w:bottom w:w="28" w:type="dxa"/>
          <w:right w:w="28" w:type="dxa"/>
        </w:tblCellMar>
      </w:tblPr>
      <w:tblGrid>
        <w:gridCol w:w="124"/>
        <w:gridCol w:w="109"/>
        <w:gridCol w:w="109"/>
        <w:gridCol w:w="179"/>
        <w:gridCol w:w="179"/>
        <w:gridCol w:w="181"/>
        <w:gridCol w:w="404"/>
        <w:gridCol w:w="404"/>
        <w:gridCol w:w="407"/>
        <w:gridCol w:w="109"/>
        <w:gridCol w:w="109"/>
        <w:gridCol w:w="109"/>
        <w:gridCol w:w="109"/>
        <w:gridCol w:w="109"/>
        <w:gridCol w:w="109"/>
        <w:gridCol w:w="134"/>
        <w:gridCol w:w="134"/>
        <w:gridCol w:w="136"/>
        <w:gridCol w:w="109"/>
        <w:gridCol w:w="109"/>
        <w:gridCol w:w="109"/>
        <w:gridCol w:w="1284"/>
        <w:gridCol w:w="1284"/>
        <w:gridCol w:w="12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KENNAMETAL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Secretary and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436</Words>
  <Characters>2362</Characters>
  <CharactersWithSpaces>2768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