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primary_doc.xml.htm"/>
      <w:bookmarkStart w:id="1" w:name="ksprimary_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Keating Michelle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525 WILLIAM PENN PLACE</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33RD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PITTSBURGH</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PA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15219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KENNAMETAL INC</w:t>
              </w:r>
            </w:hyperlink>
            <w:r>
              <w:rPr/>
              <w:t xml:space="preserve"> [ </w:t>
            </w:r>
            <w:r>
              <w:rPr>
                <w:rFonts w:ascii="Times;serif" w:hAnsi="Times;serif"/>
                <w:color w:val="0000FF"/>
                <w:sz w:val="24"/>
                <w:shd w:fill="FFFFFF" w:val="clear"/>
              </w:rPr>
              <w:t>KMT</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Vice President</w:t>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18"/>
        <w:gridCol w:w="906"/>
        <w:gridCol w:w="775"/>
        <w:gridCol w:w="602"/>
        <w:gridCol w:w="351"/>
        <w:gridCol w:w="895"/>
        <w:gridCol w:w="459"/>
        <w:gridCol w:w="622"/>
        <w:gridCol w:w="1246"/>
        <w:gridCol w:w="1005"/>
        <w:gridCol w:w="926"/>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1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7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1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5,552</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27,870.3</w:t>
            </w:r>
            <w:r>
              <w:rPr>
                <w:rFonts w:ascii="Times;serif" w:hAnsi="Times;serif"/>
                <w:color w:val="008000"/>
                <w:position w:val="7"/>
                <w:sz w:val="16"/>
                <w:sz w:val="20"/>
                <w:shd w:fill="FFFFFF" w:val="clear"/>
              </w:rPr>
              <w:t>(2)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8,328</w:t>
            </w:r>
            <w:r>
              <w:rPr>
                <w:rFonts w:ascii="Times;serif" w:hAnsi="Times;serif"/>
                <w:color w:val="008000"/>
                <w:position w:val="7"/>
                <w:sz w:val="16"/>
                <w:sz w:val="20"/>
                <w:shd w:fill="FFFFFF" w:val="clear"/>
              </w:rPr>
              <w:t>(3)</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36,198.3</w:t>
            </w:r>
            <w:r>
              <w:rPr>
                <w:rFonts w:ascii="Times;serif" w:hAnsi="Times;serif"/>
                <w:color w:val="008000"/>
                <w:position w:val="7"/>
                <w:sz w:val="16"/>
                <w:sz w:val="20"/>
                <w:shd w:fill="FFFFFF" w:val="clear"/>
              </w:rPr>
              <w:t>(2)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8"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6,858</w:t>
            </w:r>
            <w:r>
              <w:rPr>
                <w:rFonts w:ascii="Times;serif" w:hAnsi="Times;serif"/>
                <w:color w:val="008000"/>
                <w:position w:val="7"/>
                <w:sz w:val="16"/>
                <w:sz w:val="20"/>
                <w:shd w:fill="FFFFFF" w:val="clear"/>
              </w:rPr>
              <w:t>(4)</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43,056.3</w:t>
            </w:r>
            <w:r>
              <w:rPr>
                <w:rFonts w:ascii="Times;serif" w:hAnsi="Times;serif"/>
                <w:color w:val="008000"/>
                <w:position w:val="7"/>
                <w:sz w:val="16"/>
                <w:sz w:val="20"/>
                <w:shd w:fill="FFFFFF" w:val="clear"/>
              </w:rPr>
              <w:t>(2)</w:t>
            </w:r>
          </w:p>
        </w:tc>
        <w:tc>
          <w:tcPr>
            <w:tcW w:w="10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1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07/27/2026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5,994</w:t>
            </w:r>
            <w:r>
              <w:rPr>
                <w:rFonts w:ascii="Times;serif" w:hAnsi="Times;serif"/>
                <w:color w:val="008000"/>
                <w:position w:val="7"/>
                <w:sz w:val="16"/>
                <w:sz w:val="20"/>
                <w:shd w:fill="FFFFFF" w:val="clear"/>
              </w:rPr>
              <w:t>(5)</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2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49,050.3</w:t>
            </w:r>
            <w:r>
              <w:rPr>
                <w:rFonts w:ascii="Times;serif" w:hAnsi="Times;serif"/>
                <w:color w:val="008000"/>
                <w:position w:val="7"/>
                <w:sz w:val="16"/>
                <w:sz w:val="20"/>
                <w:shd w:fill="FFFFFF" w:val="clear"/>
              </w:rPr>
              <w:t>(2)</w:t>
            </w:r>
          </w:p>
        </w:tc>
        <w:tc>
          <w:tcPr>
            <w:tcW w:w="10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5,552 performance stock units deemed to have been earned by Compensation and Human Capital Committee, the Committee, on July 27, 2026, with respect to the third tranche of the Performance Unit Award relating to adjusted ROIC granted to the reporting person on August 15, 2023, the 2023 Performance Unit Award, under the Kennametal Inc. 2020 Stock and Incentive Plan. On July 27, 2026, the Committee approved adjusted ROIC payout multiple at 200.0 percent for such tranche of the 2023 Performance Unit Award, vesting and actual distribution of these shares remain subject to the reporting persons continued employment with the Company through August 15,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Includes 78.85 shares held in the Kennametal Inc. 401(k) Plan</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Represents 8,328 performance stock units deemed to have been earned by the Committee on July 27,2026, with respect to the tranche of the 2023 Performance Unit Award relating to adjusted EBITDA margin, under the Kennametal Inc. 2020 Stock and Incentive Plan. On July 27,2026, the Committee approved adjusted EBITDA margin payout at 200.0 percent for such tranche of the 2023 Performance Unit Award, vesting and actual distribution of these shares remain subject to the reporting persons continued employment with the Company through August 15,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Represents 6,858 performance stock units deemed to have been earned by the Committee on July 27, 2026, with respect to the second tranche of the Performance Unit Award relating to adjusted ROIC granted to the reporting person on August 15, 2024, the 2024 Performance Unit Award, under the Kennametal Inc. 2024 Stock and Incentive Plan. On July 27, 2026, the Committee approved adjusted ROIC payout at 200.0 percent for such tranche of the 2024 Performance Unit Award; vesting and actual distribution of these shares remain subject to the reporting persons continued employment with the Company through August 15,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Represents 5,994 performance stock units deemed to have been earned by the Committee on July 27, 2026, with respect to the first tranche of the Performance Unit Award granted to the reporting person on August 15, 2025, the 2025 Performance Unit Award, under the Kennametal Inc. 2024 Stock and Incentive Plan. On July 27, 2026, the Committee approved adjusted ROIC payout multiple at 200.0 percent for the first tranche of the 2025 Performance Unit Award; vesting and actual distribution of these shares remain subject to the reporting persons continued employment with the Company through August 15, 2028</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Michelle R. Keating</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30038" TargetMode="External"/><Relationship Id="rId5" Type="http://schemas.openxmlformats.org/officeDocument/2006/relationships/hyperlink" Target="http://www.sec.gov/cgi-bin/browse-edgar?action=getcompany&amp;CIK=000005524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990</Words>
  <Characters>5310</Characters>
  <CharactersWithSpaces>6204</CharactersWithSpaces>
  <Paragraphs>124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