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18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 xml:space="preserve">FORM 10-K </w:t>
      </w:r>
    </w:p>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June 30, 2026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 to _______</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1-5318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 xml:space="preserve">KENNAMETAL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9"/>
        <w:gridCol w:w="1579"/>
        <w:gridCol w:w="1587"/>
        <w:gridCol w:w="109"/>
        <w:gridCol w:w="109"/>
        <w:gridCol w:w="10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25-0900168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1" w:type="dxa"/>
        <w:jc w:val="center"/>
        <w:tblInd w:w="0" w:type="dxa"/>
        <w:tblLayout w:type="fixed"/>
        <w:tblCellMar>
          <w:top w:w="28" w:type="dxa"/>
          <w:left w:w="28" w:type="dxa"/>
          <w:bottom w:w="28" w:type="dxa"/>
          <w:right w:w="28" w:type="dxa"/>
        </w:tblCellMar>
      </w:tblPr>
      <w:tblGrid>
        <w:gridCol w:w="573"/>
        <w:gridCol w:w="501"/>
        <w:gridCol w:w="501"/>
        <w:gridCol w:w="590"/>
        <w:gridCol w:w="590"/>
        <w:gridCol w:w="604"/>
        <w:gridCol w:w="109"/>
        <w:gridCol w:w="109"/>
        <w:gridCol w:w="109"/>
        <w:gridCol w:w="303"/>
        <w:gridCol w:w="303"/>
        <w:gridCol w:w="429"/>
      </w:tblGrid>
      <w:tr>
        <w:trPr/>
        <w:tc>
          <w:tcPr>
            <w:tcW w:w="5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525 William Penn Place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3300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Pittsburgh,</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15219</w:t>
            </w:r>
          </w:p>
        </w:tc>
      </w:tr>
      <w:tr>
        <w:trPr/>
        <w:tc>
          <w:tcPr>
            <w:tcW w:w="33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(412) 248-8000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209"/>
        <w:gridCol w:w="1060"/>
        <w:gridCol w:w="1075"/>
        <w:gridCol w:w="424"/>
        <w:gridCol w:w="424"/>
        <w:gridCol w:w="426"/>
        <w:gridCol w:w="970"/>
        <w:gridCol w:w="970"/>
        <w:gridCol w:w="1374"/>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Capital Stock, par value $1.25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center"/>
        <w:rPr/>
      </w:pPr>
      <w:r>
        <w:rPr>
          <w:rFonts w:ascii="Times New Roman;serif" w:hAnsi="Times New Roman;serif"/>
          <w:b w:val="false"/>
          <w:color w:val="000000"/>
          <w:sz w:val="20"/>
        </w:rPr>
        <w:t xml:space="preserve">Securities registered pursuant to Section 12(g) of the Act: </w:t>
      </w:r>
      <w:r>
        <w:rPr>
          <w:rFonts w:ascii="Times New Roman;serif" w:hAnsi="Times New Roman;serif"/>
          <w:b/>
          <w:color w:val="000000"/>
          <w:sz w:val="20"/>
        </w:rPr>
        <w:t>None.</w:t>
      </w:r>
    </w:p>
    <w:p>
      <w:pPr>
        <w:pStyle w:val="TextBody"/>
        <w:bidi w:val="0"/>
        <w:spacing w:lineRule="auto" w:line="288" w:before="60" w:after="283"/>
        <w:jc w:val="left"/>
        <w:rPr/>
      </w:pPr>
      <w:r>
        <w:rPr>
          <w:rFonts w:ascii="Times New Roman;serif" w:hAnsi="Times New Roman;serif"/>
          <w:b w:val="false"/>
          <w:color w:val="000000"/>
          <w:sz w:val="18"/>
        </w:rPr>
        <w:t xml:space="preserve">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 xml:space="preserve">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68" w:before="0" w:after="0"/>
        <w:jc w:val="left"/>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is a shell company (as defined by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40" w:after="283"/>
        <w:jc w:val="left"/>
        <w:rPr/>
      </w:pPr>
      <w:r>
        <w:rPr>
          <w:rFonts w:ascii="Times New Roman;serif" w:hAnsi="Times New Roman;serif"/>
          <w:b w:val="false"/>
          <w:color w:val="000000"/>
          <w:sz w:val="18"/>
        </w:rPr>
        <w:t>As of December 31, 2025, the aggregate market value of the registrant’s Capital Stock held by non-affiliates of the registrant, estimated solely for the purposes of this Form 10-K, was approximately $1,173,200,000</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8"/>
        </w:rPr>
        <w:t>For purposes of the foregoing calculation only, all directors and executive officers of the registrant and each person who may be deemed to own beneficially more than 5% of the registrant’s Capital Stock have been deemed affiliates.</w:t>
      </w:r>
    </w:p>
    <w:p>
      <w:pPr>
        <w:pStyle w:val="TextBody"/>
        <w:bidi w:val="0"/>
        <w:spacing w:lineRule="auto" w:line="288" w:before="40" w:after="283"/>
        <w:jc w:val="left"/>
        <w:rPr>
          <w:rFonts w:ascii="Times New Roman;serif" w:hAnsi="Times New Roman;serif"/>
          <w:b w:val="false"/>
          <w:color w:val="000000"/>
          <w:sz w:val="18"/>
        </w:rPr>
      </w:pPr>
      <w:r>
        <w:rPr>
          <w:rFonts w:ascii="Times New Roman;serif" w:hAnsi="Times New Roman;serif"/>
          <w:b w:val="false"/>
          <w:color w:val="000000"/>
          <w:sz w:val="18"/>
        </w:rPr>
        <w:t>As of July 31, 2026, there were 76,219,022 shares of the Registrant’s Capital Stock outstanding.</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Portions of the Proxy Statement for the 2026 Annual Meeting of Shareholders are incorporated by reference into Part III.</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50"/>
        <w:gridCol w:w="132"/>
        <w:gridCol w:w="132"/>
        <w:gridCol w:w="3060"/>
        <w:gridCol w:w="3051"/>
        <w:gridCol w:w="3092"/>
        <w:gridCol w:w="171"/>
        <w:gridCol w:w="171"/>
        <w:gridCol w:w="246"/>
      </w:tblGrid>
      <w:tr>
        <w:trPr/>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96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No.</w:t>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 </w:t>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3">
              <w:r>
                <w:rPr>
                  <w:rStyle w:val="InternetLink"/>
                  <w:rFonts w:ascii="Times New Roman;serif" w:hAnsi="Times New Roman;serif"/>
                  <w:b/>
                  <w:color w:val="0000FF"/>
                  <w:sz w:val="20"/>
                  <w:u w:val="single"/>
                </w:rPr>
                <w:t>PART I</w:t>
              </w:r>
            </w:hyperlink>
            <w:r>
              <w:rPr>
                <w:color w:val="000000"/>
              </w:rPr>
              <w:t xml:space="preserve"> </w:t>
            </w:r>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6">
              <w:r>
                <w:rPr>
                  <w:rStyle w:val="InternetLink"/>
                  <w:rFonts w:ascii="Times New Roman;serif" w:hAnsi="Times New Roman;serif"/>
                  <w:b w:val="false"/>
                  <w:color w:val="0000FF"/>
                  <w:sz w:val="20"/>
                  <w:u w:val="single"/>
                </w:rPr>
                <w:t>Business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6">
              <w:r>
                <w:rPr>
                  <w:rStyle w:val="InternetLink"/>
                  <w:rFonts w:ascii="Times New Roman;serif" w:hAnsi="Times New Roman;serif"/>
                  <w:b w:val="false"/>
                  <w:color w:val="0000FF"/>
                  <w:sz w:val="20"/>
                  <w:u w:val="single"/>
                </w:rPr>
                <w:t>4</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1A.</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9">
              <w:r>
                <w:rPr>
                  <w:rStyle w:val="InternetLink"/>
                  <w:rFonts w:ascii="Times New Roman;serif" w:hAnsi="Times New Roman;serif"/>
                  <w:b w:val="false"/>
                  <w:color w:val="0000FF"/>
                  <w:sz w:val="20"/>
                  <w:u w:val="single"/>
                </w:rPr>
                <w:t>Risk Factors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9">
              <w:r>
                <w:rPr>
                  <w:rStyle w:val="InternetLink"/>
                  <w:rFonts w:ascii="Times New Roman;serif" w:hAnsi="Times New Roman;serif"/>
                  <w:b w:val="false"/>
                  <w:color w:val="0000FF"/>
                  <w:sz w:val="20"/>
                  <w:u w:val="single"/>
                </w:rPr>
                <w:t>8</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1B.</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22">
              <w:r>
                <w:rPr>
                  <w:rStyle w:val="InternetLink"/>
                  <w:rFonts w:ascii="Times New Roman;serif" w:hAnsi="Times New Roman;serif"/>
                  <w:b w:val="false"/>
                  <w:color w:val="0000FF"/>
                  <w:sz w:val="20"/>
                  <w:u w:val="single"/>
                </w:rPr>
                <w:t>Unresolved Staff Comments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22">
              <w:r>
                <w:rPr>
                  <w:rStyle w:val="InternetLink"/>
                  <w:rFonts w:ascii="Times New Roman;serif" w:hAnsi="Times New Roman;serif"/>
                  <w:b w:val="false"/>
                  <w:color w:val="0000FF"/>
                  <w:sz w:val="20"/>
                  <w:u w:val="single"/>
                </w:rPr>
                <w:t>12</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1C.</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25">
              <w:r>
                <w:rPr>
                  <w:rStyle w:val="InternetLink"/>
                  <w:rFonts w:ascii="Times New Roman;serif" w:hAnsi="Times New Roman;serif"/>
                  <w:b w:val="false"/>
                  <w:color w:val="0000FF"/>
                  <w:sz w:val="20"/>
                  <w:u w:val="single"/>
                </w:rPr>
                <w:t>Cybersecurity</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25">
              <w:r>
                <w:rPr>
                  <w:rStyle w:val="InternetLink"/>
                  <w:rFonts w:ascii="Times New Roman;serif" w:hAnsi="Times New Roman;serif"/>
                  <w:b w:val="false"/>
                  <w:color w:val="0000FF"/>
                  <w:sz w:val="20"/>
                  <w:u w:val="single"/>
                </w:rPr>
                <w:t>13</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28">
              <w:r>
                <w:rPr>
                  <w:rStyle w:val="InternetLink"/>
                  <w:rFonts w:ascii="Times New Roman;serif" w:hAnsi="Times New Roman;serif"/>
                  <w:b w:val="false"/>
                  <w:color w:val="0000FF"/>
                  <w:sz w:val="20"/>
                  <w:u w:val="single"/>
                </w:rPr>
                <w:t>Properties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28">
              <w:r>
                <w:rPr>
                  <w:rStyle w:val="InternetLink"/>
                  <w:rFonts w:ascii="Times New Roman;serif" w:hAnsi="Times New Roman;serif"/>
                  <w:b w:val="false"/>
                  <w:color w:val="0000FF"/>
                  <w:sz w:val="20"/>
                  <w:u w:val="single"/>
                </w:rPr>
                <w:t>13</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31">
              <w:r>
                <w:rPr>
                  <w:rStyle w:val="InternetLink"/>
                  <w:rFonts w:ascii="Times New Roman;serif" w:hAnsi="Times New Roman;serif"/>
                  <w:b w:val="false"/>
                  <w:color w:val="0000FF"/>
                  <w:sz w:val="20"/>
                  <w:u w:val="single"/>
                </w:rPr>
                <w:t>Legal Proceedings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31">
              <w:r>
                <w:rPr>
                  <w:rStyle w:val="InternetLink"/>
                  <w:rFonts w:ascii="Times New Roman;serif" w:hAnsi="Times New Roman;serif"/>
                  <w:b w:val="false"/>
                  <w:color w:val="0000FF"/>
                  <w:sz w:val="20"/>
                  <w:u w:val="single"/>
                </w:rPr>
                <w:t>14</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34">
              <w:r>
                <w:rPr>
                  <w:rStyle w:val="InternetLink"/>
                  <w:rFonts w:ascii="Times New Roman;serif" w:hAnsi="Times New Roman;serif"/>
                  <w:b w:val="false"/>
                  <w:color w:val="0000FF"/>
                  <w:sz w:val="20"/>
                  <w:u w:val="single"/>
                </w:rPr>
                <w:t>Mine Safety Disclosures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34">
              <w:r>
                <w:rPr>
                  <w:rStyle w:val="InternetLink"/>
                  <w:rFonts w:ascii="Times New Roman;serif" w:hAnsi="Times New Roman;serif"/>
                  <w:b w:val="false"/>
                  <w:color w:val="0000FF"/>
                  <w:sz w:val="20"/>
                  <w:u w:val="single"/>
                </w:rPr>
                <w:t>15</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40">
              <w:r>
                <w:rPr>
                  <w:rStyle w:val="InternetLink"/>
                  <w:rFonts w:ascii="Times New Roman;serif" w:hAnsi="Times New Roman;serif"/>
                  <w:b/>
                  <w:color w:val="0000FF"/>
                  <w:sz w:val="20"/>
                  <w:u w:val="single"/>
                </w:rPr>
                <w:t>PART II</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43">
              <w:r>
                <w:rPr>
                  <w:rStyle w:val="InternetLink"/>
                  <w:rFonts w:ascii="Times New Roman;serif" w:hAnsi="Times New Roman;serif"/>
                  <w:b w:val="false"/>
                  <w:color w:val="0000FF"/>
                  <w:sz w:val="20"/>
                  <w:u w:val="single"/>
                </w:rPr>
                <w:t>Market for the Registrant’s Common Equity, Related Stockholder Matters and Issuer Purchases of Equity Securities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43">
              <w:r>
                <w:rPr>
                  <w:rStyle w:val="InternetLink"/>
                  <w:rFonts w:ascii="Times New Roman;serif" w:hAnsi="Times New Roman;serif"/>
                  <w:b w:val="false"/>
                  <w:color w:val="0000FF"/>
                  <w:sz w:val="20"/>
                  <w:u w:val="single"/>
                </w:rPr>
                <w:t>15</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vAlign w:val="center"/>
          </w:tcPr>
          <w:p>
            <w:pPr>
              <w:pStyle w:val="TableContents"/>
              <w:bidi w:val="0"/>
              <w:spacing w:before="0" w:after="283"/>
              <w:jc w:val="left"/>
              <w:rPr>
                <w:sz w:val="4"/>
                <w:szCs w:val="4"/>
              </w:rPr>
            </w:pPr>
            <w:r>
              <w:rPr>
                <w:sz w:val="4"/>
                <w:szCs w:val="4"/>
              </w:rPr>
            </w:r>
          </w:p>
        </w:tc>
        <w:tc>
          <w:tcPr>
            <w:tcW w:w="920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r>
      <w:tr>
        <w:trPr/>
        <w:tc>
          <w:tcPr>
            <w:tcW w:w="414" w:type="dxa"/>
            <w:gridSpan w:val="3"/>
            <w:tcBorders/>
            <w:vAlign w:val="center"/>
          </w:tcPr>
          <w:p>
            <w:pPr>
              <w:pStyle w:val="TableContents"/>
              <w:bidi w:val="0"/>
              <w:spacing w:before="0" w:after="283"/>
              <w:jc w:val="left"/>
              <w:rPr>
                <w:sz w:val="4"/>
                <w:szCs w:val="4"/>
              </w:rPr>
            </w:pPr>
            <w:r>
              <w:rPr>
                <w:sz w:val="4"/>
                <w:szCs w:val="4"/>
              </w:rPr>
            </w:r>
          </w:p>
        </w:tc>
        <w:tc>
          <w:tcPr>
            <w:tcW w:w="920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46">
              <w:r>
                <w:rPr>
                  <w:rStyle w:val="InternetLink"/>
                  <w:rFonts w:ascii="Times New Roman;serif" w:hAnsi="Times New Roman;serif"/>
                  <w:b w:val="false"/>
                  <w:color w:val="0000FF"/>
                  <w:sz w:val="20"/>
                  <w:u w:val="single"/>
                </w:rPr>
                <w:t>18</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7A.</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70">
              <w:r>
                <w:rPr>
                  <w:rStyle w:val="InternetLink"/>
                  <w:rFonts w:ascii="Times New Roman;serif" w:hAnsi="Times New Roman;serif"/>
                  <w:b w:val="false"/>
                  <w:color w:val="0000FF"/>
                  <w:sz w:val="20"/>
                  <w:u w:val="single"/>
                </w:rPr>
                <w:t>Quantitative and Qualitative Disclosures About Market Risk</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70">
              <w:r>
                <w:rPr>
                  <w:rStyle w:val="InternetLink"/>
                  <w:rFonts w:ascii="Times New Roman;serif" w:hAnsi="Times New Roman;serif"/>
                  <w:b w:val="false"/>
                  <w:color w:val="0000FF"/>
                  <w:sz w:val="20"/>
                  <w:u w:val="single"/>
                </w:rPr>
                <w:t>30</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73">
              <w:r>
                <w:rPr>
                  <w:rStyle w:val="InternetLink"/>
                  <w:rFonts w:ascii="Times New Roman;serif" w:hAnsi="Times New Roman;serif"/>
                  <w:b w:val="false"/>
                  <w:color w:val="0000FF"/>
                  <w:sz w:val="20"/>
                  <w:u w:val="single"/>
                </w:rPr>
                <w:t>Financial Statements and Supplementary Data</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73">
              <w:r>
                <w:rPr>
                  <w:rStyle w:val="InternetLink"/>
                  <w:rFonts w:ascii="Times New Roman;serif" w:hAnsi="Times New Roman;serif"/>
                  <w:b w:val="false"/>
                  <w:color w:val="0000FF"/>
                  <w:sz w:val="20"/>
                  <w:u w:val="single"/>
                </w:rPr>
                <w:t>32</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66">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66">
              <w:r>
                <w:rPr>
                  <w:rStyle w:val="InternetLink"/>
                  <w:rFonts w:ascii="Times New Roman;serif" w:hAnsi="Times New Roman;serif"/>
                  <w:b w:val="false"/>
                  <w:color w:val="0000FF"/>
                  <w:sz w:val="20"/>
                  <w:u w:val="single"/>
                </w:rPr>
                <w:t>67</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9A.</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69">
              <w:r>
                <w:rPr>
                  <w:rStyle w:val="InternetLink"/>
                  <w:rFonts w:ascii="Times New Roman;serif" w:hAnsi="Times New Roman;serif"/>
                  <w:b w:val="false"/>
                  <w:color w:val="0000FF"/>
                  <w:sz w:val="20"/>
                  <w:u w:val="single"/>
                </w:rPr>
                <w:t>Controls and Procedures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69">
              <w:r>
                <w:rPr>
                  <w:rStyle w:val="InternetLink"/>
                  <w:rFonts w:ascii="Times New Roman;serif" w:hAnsi="Times New Roman;serif"/>
                  <w:b w:val="false"/>
                  <w:color w:val="0000FF"/>
                  <w:sz w:val="20"/>
                  <w:u w:val="single"/>
                </w:rPr>
                <w:t>67</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9B.</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72">
              <w:r>
                <w:rPr>
                  <w:rStyle w:val="InternetLink"/>
                  <w:rFonts w:ascii="Times New Roman;serif" w:hAnsi="Times New Roman;serif"/>
                  <w:b w:val="false"/>
                  <w:color w:val="0000FF"/>
                  <w:sz w:val="20"/>
                  <w:u w:val="single"/>
                </w:rPr>
                <w:t>Other Information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72">
              <w:r>
                <w:rPr>
                  <w:rStyle w:val="InternetLink"/>
                  <w:rFonts w:ascii="Times New Roman;serif" w:hAnsi="Times New Roman;serif"/>
                  <w:b w:val="false"/>
                  <w:color w:val="0000FF"/>
                  <w:sz w:val="20"/>
                  <w:u w:val="single"/>
                </w:rPr>
                <w:t>67</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9C.</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75">
              <w:r>
                <w:rPr>
                  <w:rStyle w:val="InternetLink"/>
                  <w:rFonts w:ascii="Times New Roman;serif" w:hAnsi="Times New Roman;serif"/>
                  <w:b w:val="false"/>
                  <w:color w:val="0000FF"/>
                  <w:sz w:val="20"/>
                  <w:u w:val="single"/>
                </w:rPr>
                <w:t>Disclosure Regarding Foreign Jurisdictions that Prevent Inspections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75">
              <w:r>
                <w:rPr>
                  <w:rStyle w:val="InternetLink"/>
                  <w:rFonts w:ascii="Times New Roman;serif" w:hAnsi="Times New Roman;serif"/>
                  <w:b w:val="false"/>
                  <w:color w:val="0000FF"/>
                  <w:sz w:val="20"/>
                  <w:u w:val="single"/>
                </w:rPr>
                <w:t>67</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78">
              <w:r>
                <w:rPr>
                  <w:rStyle w:val="InternetLink"/>
                  <w:rFonts w:ascii="Times New Roman;serif" w:hAnsi="Times New Roman;serif"/>
                  <w:b/>
                  <w:color w:val="0000FF"/>
                  <w:sz w:val="20"/>
                  <w:u w:val="single"/>
                </w:rPr>
                <w:t>PART III</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81">
              <w:r>
                <w:rPr>
                  <w:rStyle w:val="InternetLink"/>
                  <w:rFonts w:ascii="Times New Roman;serif" w:hAnsi="Times New Roman;serif"/>
                  <w:b w:val="false"/>
                  <w:color w:val="0000FF"/>
                  <w:sz w:val="20"/>
                  <w:u w:val="single"/>
                </w:rPr>
                <w:t>Directors, Executive Officers and Corporate Governance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81">
              <w:r>
                <w:rPr>
                  <w:rStyle w:val="InternetLink"/>
                  <w:rFonts w:ascii="Times New Roman;serif" w:hAnsi="Times New Roman;serif"/>
                  <w:b w:val="false"/>
                  <w:color w:val="0000FF"/>
                  <w:sz w:val="20"/>
                  <w:u w:val="single"/>
                </w:rPr>
                <w:t>68</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84">
              <w:r>
                <w:rPr>
                  <w:rStyle w:val="InternetLink"/>
                  <w:rFonts w:ascii="Times New Roman;serif" w:hAnsi="Times New Roman;serif"/>
                  <w:b w:val="false"/>
                  <w:color w:val="0000FF"/>
                  <w:sz w:val="20"/>
                  <w:u w:val="single"/>
                </w:rPr>
                <w:t>Executive Compensation</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84">
              <w:r>
                <w:rPr>
                  <w:rStyle w:val="InternetLink"/>
                  <w:rFonts w:ascii="Times New Roman;serif" w:hAnsi="Times New Roman;serif"/>
                  <w:b w:val="false"/>
                  <w:color w:val="0000FF"/>
                  <w:sz w:val="20"/>
                  <w:u w:val="single"/>
                </w:rPr>
                <w:t>69</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8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87">
              <w:r>
                <w:rPr>
                  <w:rStyle w:val="InternetLink"/>
                  <w:rFonts w:ascii="Times New Roman;serif" w:hAnsi="Times New Roman;serif"/>
                  <w:b w:val="false"/>
                  <w:color w:val="0000FF"/>
                  <w:sz w:val="20"/>
                  <w:u w:val="single"/>
                </w:rPr>
                <w:t>69</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90">
              <w:r>
                <w:rPr>
                  <w:rStyle w:val="InternetLink"/>
                  <w:rFonts w:ascii="Times New Roman;serif" w:hAnsi="Times New Roman;serif"/>
                  <w:b w:val="false"/>
                  <w:color w:val="0000FF"/>
                  <w:sz w:val="20"/>
                  <w:u w:val="single"/>
                </w:rPr>
                <w:t>Certain Relationships and Related Transactions, and Director Independence</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90">
              <w:r>
                <w:rPr>
                  <w:rStyle w:val="InternetLink"/>
                  <w:rFonts w:ascii="Times New Roman;serif" w:hAnsi="Times New Roman;serif"/>
                  <w:b w:val="false"/>
                  <w:color w:val="0000FF"/>
                  <w:sz w:val="20"/>
                  <w:u w:val="single"/>
                </w:rPr>
                <w:t>69</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93">
              <w:r>
                <w:rPr>
                  <w:rStyle w:val="InternetLink"/>
                  <w:rFonts w:ascii="Times New Roman;serif" w:hAnsi="Times New Roman;serif"/>
                  <w:b w:val="false"/>
                  <w:color w:val="0000FF"/>
                  <w:sz w:val="20"/>
                  <w:u w:val="single"/>
                </w:rPr>
                <w:t>Principal Accounting Fees and Services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93">
              <w:r>
                <w:rPr>
                  <w:rStyle w:val="InternetLink"/>
                  <w:rFonts w:ascii="Times New Roman;serif" w:hAnsi="Times New Roman;serif"/>
                  <w:b w:val="false"/>
                  <w:color w:val="0000FF"/>
                  <w:sz w:val="20"/>
                  <w:u w:val="single"/>
                </w:rPr>
                <w:t>70</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7"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96">
              <w:r>
                <w:rPr>
                  <w:rStyle w:val="InternetLink"/>
                  <w:rFonts w:ascii="Times New Roman;serif" w:hAnsi="Times New Roman;serif"/>
                  <w:b/>
                  <w:color w:val="0000FF"/>
                  <w:sz w:val="20"/>
                  <w:u w:val="single"/>
                </w:rPr>
                <w:t>SIGNATURES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96">
              <w:r>
                <w:rPr>
                  <w:rStyle w:val="InternetLink"/>
                  <w:rFonts w:ascii="Times New Roman;serif" w:hAnsi="Times New Roman;serif"/>
                  <w:b w:val="false"/>
                  <w:color w:val="0000FF"/>
                  <w:sz w:val="20"/>
                  <w:u w:val="single"/>
                </w:rPr>
                <w:t>71</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99">
              <w:r>
                <w:rPr>
                  <w:rStyle w:val="InternetLink"/>
                  <w:rFonts w:ascii="Times New Roman;serif" w:hAnsi="Times New Roman;serif"/>
                  <w:b/>
                  <w:color w:val="0000FF"/>
                  <w:sz w:val="20"/>
                  <w:u w:val="single"/>
                </w:rPr>
                <w:t>PART IV</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199">
              <w:r>
                <w:rPr>
                  <w:rStyle w:val="InternetLink"/>
                  <w:rFonts w:ascii="Times New Roman;serif" w:hAnsi="Times New Roman;serif"/>
                  <w:b w:val="false"/>
                  <w:color w:val="0000FF"/>
                  <w:sz w:val="20"/>
                  <w:u w:val="single"/>
                </w:rPr>
                <w:t>Exhibits, Financial Statement Schedules</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199">
              <w:r>
                <w:rPr>
                  <w:rStyle w:val="InternetLink"/>
                  <w:rFonts w:ascii="Times New Roman;serif" w:hAnsi="Times New Roman;serif"/>
                  <w:b w:val="false"/>
                  <w:color w:val="0000FF"/>
                  <w:sz w:val="20"/>
                  <w:u w:val="single"/>
                </w:rPr>
                <w:t>72</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208">
              <w:r>
                <w:rPr>
                  <w:rStyle w:val="InternetLink"/>
                  <w:rFonts w:ascii="Times New Roman;serif" w:hAnsi="Times New Roman;serif"/>
                  <w:b w:val="false"/>
                  <w:color w:val="0000FF"/>
                  <w:sz w:val="20"/>
                  <w:u w:val="single"/>
                </w:rPr>
                <w:t>Form 10-K Summary</w:t>
              </w:r>
            </w:hyperlink>
          </w:p>
        </w:tc>
        <w:tc>
          <w:tcPr>
            <w:tcW w:w="5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167c182ee540baa304b410154a8570_208">
              <w:r>
                <w:rPr>
                  <w:rStyle w:val="InternetLink"/>
                  <w:rFonts w:ascii="Times New Roman;serif" w:hAnsi="Times New Roman;serif"/>
                  <w:b w:val="false"/>
                  <w:color w:val="0000FF"/>
                  <w:sz w:val="20"/>
                  <w:u w:val="single"/>
                </w:rPr>
                <w:t>78</w:t>
              </w:r>
            </w:hyperlink>
          </w:p>
        </w:tc>
      </w:tr>
      <w:tr>
        <w:trPr/>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 w:type="dxa"/>
            <w:gridSpan w:val="3"/>
            <w:tcBorders/>
            <w:vAlign w:val="center"/>
          </w:tcPr>
          <w:p>
            <w:pPr>
              <w:pStyle w:val="TableContents"/>
              <w:bidi w:val="0"/>
              <w:spacing w:before="0" w:after="283"/>
              <w:jc w:val="left"/>
              <w:rPr>
                <w:sz w:val="4"/>
                <w:szCs w:val="4"/>
              </w:rPr>
            </w:pPr>
            <w:r>
              <w:rPr>
                <w:sz w:val="4"/>
                <w:szCs w:val="4"/>
              </w:rPr>
            </w:r>
          </w:p>
        </w:tc>
        <w:tc>
          <w:tcPr>
            <w:tcW w:w="920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r>
      <w:tr>
        <w:trPr/>
        <w:tc>
          <w:tcPr>
            <w:tcW w:w="414" w:type="dxa"/>
            <w:gridSpan w:val="3"/>
            <w:tcBorders/>
            <w:vAlign w:val="center"/>
          </w:tcPr>
          <w:p>
            <w:pPr>
              <w:pStyle w:val="TableContents"/>
              <w:bidi w:val="0"/>
              <w:spacing w:before="0" w:after="283"/>
              <w:jc w:val="left"/>
              <w:rPr>
                <w:sz w:val="4"/>
                <w:szCs w:val="4"/>
              </w:rPr>
            </w:pPr>
            <w:r>
              <w:rPr>
                <w:sz w:val="4"/>
                <w:szCs w:val="4"/>
              </w:rPr>
            </w:r>
          </w:p>
        </w:tc>
        <w:tc>
          <w:tcPr>
            <w:tcW w:w="920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Statements and financial discussion and analysis contained herein and in the documents incorporated by reference herein that are not historical facts are "forward-looking statements" within the meaning of Section 27A of the Securities Act of 1933, as amended, and Section 21E of the Securities Exchange Act of 1934, as amended (the "Exchange Act"). For example, statements about Kennametal's expectations regarding future growth and any statements regarding future operating or financial performance or events are forward-looking. We have also included forward-looking statements in this Annual Report on Form 10-K ("Annual Report") concerning, among other things, our strategy, goals, plans and projections regarding our financial position, liquidity and capital resources, results of operations, market position, and product development. Any forward-looking statements are based on current knowledge, expectations and estimates that involve inherent risks and uncertainties. Should one or more of these risks or uncertainties materialize, or should the assumptions underlying the forward-looking statements prove incorrect, our actual results could vary materially from our current expectations. There are a number of factors that could cause our actual results to differ from those indicated in the forward-looking statements. They include: uncertainties related to changes in macroeconomic and/or global conditions, including as a result of increased inflation, tariffs, and Russia's invasion of Ukraine and the resulting sanctions on Russia; the conflicts in the Middle East; economic recession; our ability to achieve all anticipated benefits of restructuring initiatives; Commercial Excellence growth initiatives and Operational Excellence initiatives; our foreign operations and international markets, including factors such as currency exchange rates, different regulatory environments, trade barriers, exchange controls, and social and political instability, including the conflicts in Ukraine and the Middle East; changes in the regulatory environment in which we operate, including environmental, health and safety regulations; potential for future goodwill and other intangible asset impairment charges; our ability to protect and defend our intellectual property; continuity of information technology infrastructure; competition; our ability to retain our management and employees; demands on management resources; availability and cost of the raw materials we use to manufacture our products, including tungsten; product liability claims; integrating acquisitions and achieving the expected savings and synergies; global or regional catastrophic events; demand for and market acceptance of our products; business divestitures; energy costs; commodity prices; labor relations; and implementation of environmental remediation matters. We provide additional information about many of the specific risks we face in the "Risk Factors" section of this Annual Report. We can give no assurance that any goal or plan set forth in forward-looking statements can be achieved and readers are cautioned not to place undue reliance on such statements, which speak only as of the date made. We undertake no obligation to release publicly any revisions to forward-looking statements as a result of future events or developments.</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 BUSINESS</w:t>
      </w:r>
    </w:p>
    <w:p>
      <w:pPr>
        <w:pStyle w:val="TextBody"/>
        <w:bidi w:val="0"/>
        <w:spacing w:lineRule="auto" w:line="288" w:before="120" w:after="283"/>
        <w:jc w:val="left"/>
        <w:rPr/>
      </w:pPr>
      <w:r>
        <w:rPr>
          <w:rFonts w:ascii="Times New Roman;serif" w:hAnsi="Times New Roman;serif"/>
          <w:b/>
          <w:color w:val="000000"/>
          <w:sz w:val="20"/>
        </w:rPr>
        <w:t xml:space="preserve">OVERVIEW </w:t>
      </w:r>
      <w:r>
        <w:rPr>
          <w:rFonts w:ascii="Times New Roman;serif" w:hAnsi="Times New Roman;serif"/>
          <w:b w:val="false"/>
          <w:color w:val="000000"/>
          <w:sz w:val="20"/>
        </w:rPr>
        <w:t>With more than 85 years of materials expertise, Kennametal Inc. (the Company) is a global industrial technology leader, that helps customers across the General Engineering, Transportation, Earthworks, Energy and Aerospace &amp; Defense end markets build their products with precision and efficiency. The Company was founded based on a tungsten carbide technology breakthrough in 1938 and was incorporated in Pennsylvania in 1943 as a manufacturer of tungsten carbide metal cutting tooling. In 1967, it was listed on the New York Stock Exchange (NYSE) with the stock ticker KMT.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core expertise includes the development and application of tungsten carbides, ceramics, super-hard materials and solutions used in metal cutting and extreme wear applications to keep customers up and running longer against conditions such as corrosion and high temperatures. We bring together material science, technical expertise, innovation and customer service in a way that allows us to anticipate customers' needs and help them overcome problems and achieve their manufacturing objectives.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standard and custom product offering spans metal cutting and wear applications including turning, milling, hole making, tooling systems and services, as well as specialized wear components and metallurgical powders. End users of the Company's metal cutting products include manufacturers engaged in a diverse array of industries including: transportation vehicles and components, machine tools and light and heavy machinery; airframe and aerospace components; and energy-related components for the oil and gas industry, as well as power generation. The Company’s wear and metallurgical powders are used by producers and suppliers in equipment-intensive operations such as road construction, mining, quarrying, oil and gas exploration, refining, production and supply, and for aerospace and defense.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specified, any reference to a “year” refers to our fiscal year ending on June 30. Unless the context requires otherwise, the terms “we,” “our” and “us” refer to Kennametal Inc. and its subsidiaries.</w:t>
      </w:r>
    </w:p>
    <w:p>
      <w:pPr>
        <w:pStyle w:val="TextBody"/>
        <w:bidi w:val="0"/>
        <w:spacing w:lineRule="auto" w:line="288" w:before="120" w:after="283"/>
        <w:jc w:val="left"/>
        <w:rPr/>
      </w:pPr>
      <w:r>
        <w:rPr>
          <w:rFonts w:ascii="Times New Roman;serif" w:hAnsi="Times New Roman;serif"/>
          <w:b/>
          <w:color w:val="000000"/>
          <w:sz w:val="20"/>
        </w:rPr>
        <w:t>BUSINESS SEGMENT REVIEW</w:t>
      </w:r>
      <w:r>
        <w:rPr>
          <w:color w:val="000000"/>
        </w:rPr>
        <w:t xml:space="preserve"> </w:t>
      </w:r>
      <w:r>
        <w:rPr>
          <w:rFonts w:ascii="Times New Roman;serif" w:hAnsi="Times New Roman;serif"/>
          <w:b w:val="false"/>
          <w:color w:val="000000"/>
          <w:sz w:val="20"/>
        </w:rPr>
        <w:t xml:space="preserve">Kennametal operates in two segments: Metal Cutting and Infrastructure. The Company's reportable operating segments have been determined in accordance with the Company's internal management structure, which is organized based on operating activities, the manner in which we organize segments for making operating decisions and assessing performance and the availability of separate financial results. Sales and operating income by segment are presented in Management’s Discussion and Analysis of Financial Condition and Results of Operations set forth in Item 7 of this Annual Report (MD&amp;A). Additional segment data is provided in Note 21 of our consolidated financial statements set forth in Item 8 of this Annual Report. </w:t>
      </w:r>
    </w:p>
    <w:p>
      <w:pPr>
        <w:pStyle w:val="TextBody"/>
        <w:bidi w:val="0"/>
        <w:spacing w:lineRule="auto" w:line="288" w:before="120" w:after="283"/>
        <w:jc w:val="left"/>
        <w:rPr/>
      </w:pPr>
      <w:r>
        <w:rPr>
          <w:rFonts w:ascii="Times New Roman;serif" w:hAnsi="Times New Roman;serif"/>
          <w:b/>
          <w:color w:val="000000"/>
          <w:sz w:val="20"/>
        </w:rPr>
        <w:t>METAL CUTTING</w:t>
      </w:r>
      <w:r>
        <w:rPr>
          <w:color w:val="000000"/>
        </w:rPr>
        <w:t xml:space="preserve"> </w:t>
      </w:r>
      <w:r>
        <w:rPr>
          <w:rFonts w:ascii="Times New Roman;serif" w:hAnsi="Times New Roman;serif"/>
          <w:b w:val="false"/>
          <w:color w:val="000000"/>
          <w:sz w:val="20"/>
        </w:rPr>
        <w:t>The Metal Cutting segment develops and manufactures high performance tooling and metal cutting products and services and offers an assortment of standard and custom metal cutting solutions to diverse end markets, including General Engineering, Transportation, Aerospace &amp; Defense and Energy. The products include milling, hole making, turning, threading and toolmaking systems used in the manufacture of airframes, aero engines, trucks and automobiles, ships and various types of industrial equipment. We leverage advanced manufacturing capabilities in combination with varying levels of customization to solve our customers’ toughest challenges and deliver improved productivity for a wide range of applications.</w:t>
      </w:r>
      <w:r>
        <w:rPr>
          <w:color w:val="000000"/>
        </w:rPr>
        <w:t> </w:t>
      </w:r>
      <w:r>
        <w:rPr>
          <w:rFonts w:ascii="Times New Roman;serif" w:hAnsi="Times New Roman;serif"/>
          <w:b w:val="false"/>
          <w:color w:val="000000"/>
          <w:sz w:val="20"/>
        </w:rPr>
        <w:t>Metal Cutting markets its products under the Kennametal</w:t>
      </w:r>
      <w:r>
        <w:rPr>
          <w:rFonts w:ascii="Times New Roman;serif" w:hAnsi="Times New Roman;serif"/>
          <w:b w:val="false"/>
          <w:color w:val="000000"/>
          <w:sz w:val="13"/>
        </w:rPr>
        <w:t>®</w:t>
      </w:r>
      <w:r>
        <w:rPr>
          <w:rFonts w:ascii="Times New Roman;serif" w:hAnsi="Times New Roman;serif"/>
          <w:b w:val="false"/>
          <w:color w:val="000000"/>
          <w:sz w:val="20"/>
        </w:rPr>
        <w:t>, WIDIA</w:t>
      </w:r>
      <w:r>
        <w:rPr>
          <w:rFonts w:ascii="Times New Roman;serif" w:hAnsi="Times New Roman;serif"/>
          <w:b w:val="false"/>
          <w:color w:val="000000"/>
          <w:sz w:val="13"/>
        </w:rPr>
        <w:t>®</w:t>
      </w:r>
      <w:r>
        <w:rPr>
          <w:rFonts w:ascii="Times New Roman;serif" w:hAnsi="Times New Roman;serif"/>
          <w:b w:val="false"/>
          <w:color w:val="000000"/>
          <w:sz w:val="20"/>
        </w:rPr>
        <w:t>, WIDIA Hanita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WIDIA GTD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brands through its direct sales force, a network of independent and national distributors, integrated supplier channels and digitally. Application engineers and technicians are critical to the sales process and directly assist our customers with specified product design, selection, application and support.</w:t>
      </w:r>
    </w:p>
    <w:p>
      <w:pPr>
        <w:pStyle w:val="TextBody"/>
        <w:bidi w:val="0"/>
        <w:spacing w:lineRule="auto" w:line="288" w:before="120" w:after="283"/>
        <w:jc w:val="left"/>
        <w:rPr/>
      </w:pPr>
      <w:r>
        <w:rPr>
          <w:rFonts w:ascii="Times New Roman;serif" w:hAnsi="Times New Roman;serif"/>
          <w:b/>
          <w:color w:val="000000"/>
          <w:sz w:val="20"/>
        </w:rPr>
        <w:t>INFRASTRUCTURE</w:t>
      </w:r>
      <w:r>
        <w:rPr>
          <w:color w:val="000000"/>
        </w:rPr>
        <w:t xml:space="preserve"> </w:t>
      </w:r>
      <w:r>
        <w:rPr>
          <w:rFonts w:ascii="Times New Roman;serif" w:hAnsi="Times New Roman;serif"/>
          <w:b w:val="false"/>
          <w:color w:val="000000"/>
          <w:sz w:val="20"/>
        </w:rPr>
        <w:t>Our Infrastructure segment produces engineered tungsten carbide and ceramic components, earth cutting tools, and advanced metallurgical powders, primarily for the Earthworks, General Engineering, Energy and Aerospace &amp; Defense end markets. These wear-resistant products include compacts, nozzles, frac seats and custom components used in oil and gas and petrochemical industries; rod blanks and abrasive water jet nozzles for general industries; earth cutting tools and systems used in underground mining, trenching and foundation drilling and road milling; tungsten carbide powders for the oil and gas, aerospace and process industries; high temperature critical wear components, tungsten penetrators and armor solutions for aerospace and defense; and ceramics used by the packaging industry for metallization of films and papers. We combine deep metallurgical and engineering expertise with advanced manufacturing capabilities, such as 3D printing, to deliver solutions that drive improved productivity for our customers. Infrastructure markets its products primarily under the Kennametal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 and sells through a direct sales force as well as through distributors.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INTERNATIONAL OPERATIONS</w:t>
      </w:r>
      <w:r>
        <w:rPr>
          <w:color w:val="000000"/>
        </w:rPr>
        <w:t xml:space="preserve"> </w:t>
      </w:r>
      <w:r>
        <w:rPr>
          <w:rFonts w:ascii="Times New Roman;serif" w:hAnsi="Times New Roman;serif"/>
          <w:b w:val="false"/>
          <w:color w:val="000000"/>
          <w:sz w:val="20"/>
        </w:rPr>
        <w:t>During 2026, we generated 57 percent of our consolidated sales in markets outside of the United States of America (U.S.), with principal international operations in Western Europe, China and India. We also operate manufacturing and distribution facilities in Israel, Latin America, South Africa and Vietnam, while serving customers through sales offices, agents and distributors in Europe and other parts of the world. While geographic diversification helps to minimize the sales and earnings effect of demand changes in any one particular region, our international operations are subject to normal risks of doing business globally, including tariffs, fluctuations in currency exchange rates and changes in social, political and economic environments.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international sales and long-lived assets are presented in Note 21 of the Company’s consolidated financial statements, set forth in Item 8 of this Annual Report. Further information about the effects and risks of currency exchange rates are presented in the Quantitative and Qualitative Disclosures About Market Risk section, set forth in Item 7A of this Annual Report.</w:t>
      </w:r>
    </w:p>
    <w:p>
      <w:pPr>
        <w:pStyle w:val="TextBody"/>
        <w:bidi w:val="0"/>
        <w:spacing w:lineRule="auto" w:line="288" w:before="120" w:after="283"/>
        <w:jc w:val="left"/>
        <w:rPr/>
      </w:pPr>
      <w:r>
        <w:rPr>
          <w:rFonts w:ascii="Times New Roman;serif" w:hAnsi="Times New Roman;serif"/>
          <w:b/>
          <w:color w:val="000000"/>
          <w:sz w:val="20"/>
        </w:rPr>
        <w:t xml:space="preserve">ACQUISITIONS, STRATEGIC INVESTMENTS AND DIVESTITURES </w:t>
      </w:r>
      <w:r>
        <w:rPr>
          <w:rFonts w:ascii="Times New Roman;serif" w:hAnsi="Times New Roman;serif"/>
          <w:b w:val="false"/>
          <w:color w:val="000000"/>
          <w:sz w:val="20"/>
        </w:rPr>
        <w:t xml:space="preserve">We continually evaluate new opportunities to expand into new market areas, and to introduce new and/or complementary product offerings into new or existing areas where appropriate. Recent initiatives include our strategic partnerships with Toolpath Labs, Inc. during fiscal 2025 and ModuleWorks GmbH during fiscal 2024, which support our digital manufacturing and intelligent machining solutions strategy. We expect to continue to grow our business and further enhance our market position through the investment opportunities that exist within our core businesses, including potential acquisitions in the near term.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fiscal 2025, we completed the sale of a subsidiary located in Goshen, Indiana to a Chicago-based private equity firm and recognized a loss on divestiture of $1.5 million.</w:t>
      </w:r>
    </w:p>
    <w:p>
      <w:pPr>
        <w:pStyle w:val="TextBody"/>
        <w:bidi w:val="0"/>
        <w:spacing w:lineRule="auto" w:line="288" w:before="120" w:after="283"/>
        <w:jc w:val="left"/>
        <w:rPr/>
      </w:pPr>
      <w:r>
        <w:rPr>
          <w:rFonts w:ascii="Times New Roman;serif" w:hAnsi="Times New Roman;serif"/>
          <w:b/>
          <w:color w:val="000000"/>
          <w:sz w:val="20"/>
        </w:rPr>
        <w:t>RAW MATERIALS AND SUPPLIES</w:t>
      </w:r>
      <w:r>
        <w:rPr>
          <w:color w:val="000000"/>
        </w:rPr>
        <w:t xml:space="preserve"> </w:t>
      </w:r>
      <w:r>
        <w:rPr>
          <w:rFonts w:ascii="Times New Roman;serif" w:hAnsi="Times New Roman;serif"/>
          <w:b w:val="false"/>
          <w:color w:val="000000"/>
          <w:sz w:val="20"/>
        </w:rPr>
        <w:t xml:space="preserve">Our major metallurgical raw materials consist of tungsten ore concentrates and scrap carbide, which are used to make tungsten oxide, as well as compounds and secondary materials such as cobalt. Although an adequate supply of these raw materials currently exists, our major sources for raw materials are located abroad and prices fluctuate at times. In particular, the global tungsten market remains susceptible to supply constraints and price volatility due to the concentration of mining and processing capacity in China. Recent export controls and other market factors have increased uncertainty regarding the availability and cost of tungsten products in international markets and have contributed to higher tungsten prices. These market dynamics may continue to impact raw material costs and availability.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exercise great care in selecting, purchasing and managing the availability of raw materials utilizing a mix of long-term supply agreements coupled with spot purchases. Additionally, our internal tungsten recycling capability provides us access to additional sources of tungsten, and therefore, helps to mitigate our reliance on third parties. We also purchase steel bars and forgings for making toolholders and other tool parts, as well as for producing mining tools, rotary cutting tools and accessories. We purchase products for use in manufacturing processes and for resale from many suppliers located in the U.S. and abroad. </w:t>
      </w:r>
    </w:p>
    <w:p>
      <w:pPr>
        <w:pStyle w:val="TextBody"/>
        <w:bidi w:val="0"/>
        <w:spacing w:lineRule="auto" w:line="288" w:before="120" w:after="283"/>
        <w:jc w:val="left"/>
        <w:rPr/>
      </w:pPr>
      <w:r>
        <w:rPr>
          <w:rFonts w:ascii="Times New Roman;serif" w:hAnsi="Times New Roman;serif"/>
          <w:b/>
          <w:color w:val="000000"/>
          <w:sz w:val="20"/>
        </w:rPr>
        <w:t>RESEARCH AND DEVELOPMENT (R&amp;D)</w:t>
      </w:r>
      <w:r>
        <w:rPr>
          <w:color w:val="000000"/>
        </w:rPr>
        <w:t xml:space="preserve"> </w:t>
      </w:r>
      <w:r>
        <w:rPr>
          <w:rFonts w:ascii="Times New Roman;serif" w:hAnsi="Times New Roman;serif"/>
          <w:b w:val="false"/>
          <w:color w:val="000000"/>
          <w:sz w:val="20"/>
        </w:rPr>
        <w:t>Our R&amp;D efforts focus on delivering innovations to our customers from both new product and process technology development. New product development provides solutions to our customers’ manufacturing challenges and productivity requirements. New process technology is developed and implemented in support of operational excellence to enhance product quality and efficiency at our plant sites. We use a disciplined framework, and have established “stage-gates,” or sequential tests to remove inefficiencies and accelerate commercial success. This framework is designed to accelerate and streamline development into a series of actions and decision points, integrating resource tasks to implement new and enhanced products and process technologies faster. Our stage-gate process ensures a strong linkage between verified customer requirements and corporate strategy and enables us to gain the full benefits of our investment in development work.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hold a number of patents and trademarks which, in the aggregate, are material to the operation of our businesses. The duration of our patent protection varies throughout the world by jurisdiction. </w:t>
      </w:r>
    </w:p>
    <w:p>
      <w:pPr>
        <w:pStyle w:val="TextBody"/>
        <w:bidi w:val="0"/>
        <w:spacing w:lineRule="auto" w:line="288" w:before="120" w:after="283"/>
        <w:jc w:val="left"/>
        <w:rPr/>
      </w:pPr>
      <w:r>
        <w:rPr>
          <w:rFonts w:ascii="Times New Roman;serif" w:hAnsi="Times New Roman;serif"/>
          <w:b/>
          <w:color w:val="000000"/>
          <w:sz w:val="20"/>
        </w:rPr>
        <w:t>SEASONALITY</w:t>
      </w:r>
      <w:r>
        <w:rPr>
          <w:color w:val="000000"/>
        </w:rPr>
        <w:t xml:space="preserve"> </w:t>
      </w:r>
      <w:r>
        <w:rPr>
          <w:rFonts w:ascii="Times New Roman;serif" w:hAnsi="Times New Roman;serif"/>
          <w:b w:val="false"/>
          <w:color w:val="000000"/>
          <w:sz w:val="20"/>
        </w:rPr>
        <w:t>Our business is affected by seasonal variations to varying degrees by summer road construction, traditional summer vacation shutdowns of customers’ plants and holiday shutdowns that affect our sales levels during the first and second quarters of our fiscal year.</w:t>
      </w:r>
    </w:p>
    <w:p>
      <w:pPr>
        <w:pStyle w:val="TextBody"/>
        <w:bidi w:val="0"/>
        <w:spacing w:lineRule="auto" w:line="288" w:before="120" w:after="283"/>
        <w:jc w:val="left"/>
        <w:rPr/>
      </w:pPr>
      <w:r>
        <w:rPr>
          <w:rFonts w:ascii="Times New Roman;serif" w:hAnsi="Times New Roman;serif"/>
          <w:b/>
          <w:color w:val="000000"/>
          <w:sz w:val="20"/>
        </w:rPr>
        <w:t>BACKLOG</w:t>
      </w:r>
      <w:r>
        <w:rPr>
          <w:color w:val="000000"/>
        </w:rPr>
        <w:t xml:space="preserve"> </w:t>
      </w:r>
      <w:r>
        <w:rPr>
          <w:rFonts w:ascii="Times New Roman;serif" w:hAnsi="Times New Roman;serif"/>
          <w:b w:val="false"/>
          <w:color w:val="000000"/>
          <w:sz w:val="20"/>
        </w:rPr>
        <w:t>Our backlog of standard orders generally is not significant to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COMPETITION</w:t>
      </w:r>
      <w:r>
        <w:rPr>
          <w:color w:val="000000"/>
        </w:rPr>
        <w:t xml:space="preserve"> </w:t>
      </w:r>
      <w:r>
        <w:rPr>
          <w:rFonts w:ascii="Times New Roman;serif" w:hAnsi="Times New Roman;serif"/>
          <w:b w:val="false"/>
          <w:color w:val="000000"/>
          <w:sz w:val="20"/>
        </w:rPr>
        <w:t>As one of the world’s leading producers of tooling and metal cutting products, specialty wear-resistant components and ceramics, earth cutting tools and advanced metallurgical powders, we maintain a competitive position in major markets worldwide. We actively compete in the sale of all our products with several large global competitors and with many smaller niche businesses offering various capabilities to customers around the world. While several of our competitors are divisions of larger corporations, our industry remains largely fragmented, containing several hundred fabricators, toolmakers and niche specialty coating businesses. Many of our competitors operate relatively small facilities, producing a limited selection of tools while buying cemented tungsten carbide components from original producers of cemented tungsten carbide products, including Kennametal. We also supply coated solutions and other engineered wear-resistant products to both larger corporations and smaller niche businesses. Given the fragmentation, opportunities for consolidation exist from both U.S.-based and internationally-based firms, as well as among thousands of industrial supply distributors.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principal competitive differentiators in our businesses include customer focused support and application expertise, custom and standard product innovation, product performance and quality, and our brand recognition. We derive competitive advantage from our premium brand positions, global presence, application expertise and ability to address unique customer needs with new and improved tools, innovative surface and wear-resistant solutions, highly engineered components, consistent quality, traditional and digital customer service and technical assistance capabilities, state-of-the-art manufacturing and multiple sales channels. With these strengths, we are able to sell products based on the value-added productivity we deliver to our customers, rather than competing solely on price.</w:t>
      </w:r>
    </w:p>
    <w:p>
      <w:pPr>
        <w:pStyle w:val="TextBody"/>
        <w:bidi w:val="0"/>
        <w:spacing w:lineRule="auto" w:line="288" w:before="120" w:after="283"/>
        <w:jc w:val="left"/>
        <w:rPr/>
      </w:pPr>
      <w:r>
        <w:rPr>
          <w:rFonts w:ascii="Times New Roman;serif" w:hAnsi="Times New Roman;serif"/>
          <w:b/>
          <w:color w:val="000000"/>
          <w:sz w:val="20"/>
        </w:rPr>
        <w:t>REGULATION</w:t>
      </w:r>
      <w:r>
        <w:rPr>
          <w:color w:val="000000"/>
        </w:rPr>
        <w:t xml:space="preserve"> </w:t>
      </w:r>
      <w:r>
        <w:rPr>
          <w:rFonts w:ascii="Times New Roman;serif" w:hAnsi="Times New Roman;serif"/>
          <w:b w:val="false"/>
          <w:color w:val="000000"/>
          <w:sz w:val="20"/>
        </w:rPr>
        <w:t>From time to time, we are a party to legal claims and proceedings that arise in the ordinary course of business, which may relate to our operations or assets, including real, tangible or intellectual property assets. While we currently believe that the amount of ultimate liability, if any, we may face with respect to these actions will not materially affect our financial position, results of operations or liquidity, the ultimate outcome of any litigation is uncertain. Were an unfavorable outcome to occur or if protracted litigation were to ensue, the effect on us could be material.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Compliance with government laws and regulations pertaining to the discharge of materials or pollutants into the environment or otherwise relating to the protection of the environment did not have a material effect on our capital expenditures or competitive position for the years covered by this Annual Report, nor is such compliance expected to have a material effect on us in the future.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operation of our business has exposed us to certain liabilities and compliance costs related to environmental matters. We are involved in various environmental cleanup and remediation activities at certain sites associated with our current or former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establish and maintain accruals for estimated liabilities associated with certain environmental matters. As of June 30, 2026, the balance of these accruals was $12.3 million. These accruals represent anticipated costs associated with the remediation of these issues and are generally not discounted.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record a loss contingency when the available information indicates it is probable that we have incurred a liability and the amount of the loss is reasonably estimable. The likelihood of a loss with respect to a particular environmental matter is often difficult to predict, and determining a meaningful estimate of the loss or a range of loss may not be practicable based on information available. When a material loss contingency is probable but a reasonable estimate cannot be made, or when a material loss contingency is at least reasonably possible, disclosure is provided. The accruals we have established for estimated environmental liabilities represent our best current estimate of the probable and reasonably estimable costs of addressing identified environmental situations, based on our review of currently available evidence, and taking into consideration our prior experience in remediation and that of other companies, as well as public information released by the United States Environmental Protection Agency (USEPA), other governmental agencies and by the Potentially Responsible Party (PRP) groups in which we are participating. The accrued liabilities for all environmental concerns could change substantially due to factors such as the nature and extent of contamination, changes in remedial requirements, technological changes, discovery of new information, the financial strength of other PRPs, the identification of new PRPs and the involvement of and direction taken by the government or the courts on these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Among other environmental laws, we are subject to the Comprehensive Environmental Response Compensation and Liability Act of 1980 (CERCLA), under which we have been identified by the USEPA or other third party as a PRP with respect to environmental remedial costs at certain Superfund sites. We have evaluated our claims and estimated liability associated with these sites based upon the best information currently available to us. We believe our environmental accruals are adequate to cover our portion of the environmental remedial costs at the sites where we have been designated a PRP, to the extent these expenses are probable and reasonably estimable.</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HUMAN CAPITAL RESOURCES</w:t>
      </w:r>
      <w:r>
        <w:rPr>
          <w:color w:val="000000"/>
        </w:rPr>
        <w:t xml:space="preserve"> </w:t>
      </w:r>
    </w:p>
    <w:p>
      <w:pPr>
        <w:pStyle w:val="TextBody"/>
        <w:bidi w:val="0"/>
        <w:spacing w:lineRule="auto" w:line="288" w:before="120" w:after="283"/>
        <w:jc w:val="left"/>
        <w:rPr/>
      </w:pPr>
      <w:r>
        <w:rPr>
          <w:rFonts w:ascii="Times New Roman;serif" w:hAnsi="Times New Roman;serif"/>
          <w:b w:val="false"/>
          <w:i/>
          <w:color w:val="000000"/>
          <w:sz w:val="20"/>
        </w:rPr>
        <w:t xml:space="preserve">Employee Profile. </w:t>
      </w:r>
      <w:r>
        <w:rPr>
          <w:rFonts w:ascii="Times New Roman;serif" w:hAnsi="Times New Roman;serif"/>
          <w:b w:val="false"/>
          <w:color w:val="000000"/>
          <w:sz w:val="20"/>
        </w:rPr>
        <w:t>We employed 8,073 people, including approximately 8,050 full-time employees, as of June 30, 2026. Approximately 2,500 employees were located in the U.S. and 5,600 were located in other parts of the world, principally Germany, India and China. As of June 30, 2026, approximately 2,100 of our employees were represented by labor unions. We consider our labor relations to be generally good.</w:t>
      </w:r>
    </w:p>
    <w:p>
      <w:pPr>
        <w:pStyle w:val="TextBody"/>
        <w:bidi w:val="0"/>
        <w:spacing w:lineRule="auto" w:line="288" w:before="120" w:after="283"/>
        <w:jc w:val="left"/>
        <w:rPr/>
      </w:pPr>
      <w:r>
        <w:rPr>
          <w:rFonts w:ascii="Times New Roman;serif" w:hAnsi="Times New Roman;serif"/>
          <w:b w:val="false"/>
          <w:i/>
          <w:color w:val="000000"/>
          <w:sz w:val="20"/>
        </w:rPr>
        <w:t xml:space="preserve">Inclusion and Belonging. </w:t>
      </w:r>
      <w:r>
        <w:rPr>
          <w:rFonts w:ascii="Times New Roman;serif" w:hAnsi="Times New Roman;serif"/>
          <w:b w:val="false"/>
          <w:color w:val="000000"/>
          <w:sz w:val="20"/>
        </w:rPr>
        <w:t>We are fully committed to inclusion and belonging (I&amp;B)</w:t>
      </w:r>
      <w:r>
        <w:rPr>
          <w:color w:val="FF0000"/>
        </w:rPr>
        <w:t xml:space="preserve"> </w:t>
      </w:r>
      <w:r>
        <w:rPr>
          <w:rFonts w:ascii="Times New Roman;serif" w:hAnsi="Times New Roman;serif"/>
          <w:b w:val="false"/>
          <w:color w:val="000000"/>
          <w:sz w:val="20"/>
        </w:rPr>
        <w:t xml:space="preserve">in the workplace. We continue to deploy our strategy and the supporting infrastructure to elevate and advance I&amp;B across our global organization and instill accountability for our performance. Our I&amp;B initiatives are guided by our I&amp;B Steering Team, which was formed in fiscal 2023 and expanded in 2025. The Steering Team is led by five senior executives who are responsible for one of our I&amp;B strategic pillars – awareness, acquisition, development, community and culture.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I&amp;B strategy is also championed by the Global Inclusion Council, which consists of cross-functional global leaders. Four regional inclusion councils covering the Americas, Asia Pacific, EMEA and India execute the strategies and provide a global perspective. We track key metrics to monitor the progress of our I&amp;B strategy and goals and to identify areas for improvement across all levels of the organization.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awareness initiatives in 2026, we launched our first global Building Better Days movement challenge during Mental Health Awareness month. Approximately 500 employees joined, committing to making movement part of their daily routines, building health habits and focusing on creating more good days through small, intentional actions. We continued to support our Employee Resource Groups (ERGs) in fostering communication, mentorship and community among diverse groups across the company. Additionally, throughout the year, we continued to incorporate educational opportunities to reinforce our ongoing commitment to employee wellbeing and inclusion. </w:t>
      </w:r>
    </w:p>
    <w:p>
      <w:pPr>
        <w:pStyle w:val="TextBody"/>
        <w:bidi w:val="0"/>
        <w:spacing w:lineRule="auto" w:line="288" w:before="120" w:after="283"/>
        <w:jc w:val="left"/>
        <w:rPr/>
      </w:pPr>
      <w:r>
        <w:rPr>
          <w:rFonts w:ascii="Times New Roman;serif" w:hAnsi="Times New Roman;serif"/>
          <w:b w:val="false"/>
          <w:i/>
          <w:color w:val="000000"/>
          <w:sz w:val="20"/>
        </w:rPr>
        <w:t xml:space="preserve">Health and Safety. </w:t>
      </w:r>
      <w:r>
        <w:rPr>
          <w:rFonts w:ascii="Times New Roman;serif" w:hAnsi="Times New Roman;serif"/>
          <w:b w:val="false"/>
          <w:color w:val="000000"/>
          <w:sz w:val="20"/>
        </w:rPr>
        <w:t xml:space="preserve">Safety, including the health of our employees and contractors, is one of our core values and a priority across our global operations. We are committed to developing a world-class health and safety culture aimed at achieving zero injuries and illnesses. The long-term vision to achieving our world-class health and safety culture is formalized and communicated in our Environmental, Health and Safety (EHS) Roadmap that consists of four focus areas – fatality and serious injury (FSI) prevention, incident prevention, leadership development and culture and environmental compliance and sustainability.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our EHS Management System, including an extensive list of apps, to enable streamlined collection, tracking and dissemination of key data related to our EHS standards and requirements. Along with each standard, we have developed a self-assessment used to evaluate performance and develop action plans for advancing on the EHS Roadmap. In 2026, we continued to achieve positive results in proactive risk identification and closure programs which drive our culture of eliminating hazards prior to potential incidents. </w:t>
      </w:r>
    </w:p>
    <w:p>
      <w:pPr>
        <w:pStyle w:val="TextBody"/>
        <w:bidi w:val="0"/>
        <w:spacing w:lineRule="auto" w:line="288" w:before="120" w:after="283"/>
        <w:jc w:val="left"/>
        <w:rPr/>
      </w:pPr>
      <w:r>
        <w:rPr>
          <w:rFonts w:ascii="Times New Roman;serif" w:hAnsi="Times New Roman;serif"/>
          <w:b w:val="false"/>
          <w:i/>
          <w:color w:val="000000"/>
          <w:sz w:val="20"/>
        </w:rPr>
        <w:t xml:space="preserve">Employee Development and Training. </w:t>
      </w:r>
      <w:r>
        <w:rPr>
          <w:rFonts w:ascii="Times New Roman;serif" w:hAnsi="Times New Roman;serif"/>
          <w:b w:val="false"/>
          <w:color w:val="000000"/>
          <w:sz w:val="20"/>
        </w:rPr>
        <w:t>For the Company to grow, our employees must grow and develop continuously. We offer learning and development opportunities for all employees. In fiscal 2026, this included training for senior, mid-level and emerging leaders in role- and function-specific skills, such as coaching, feedback, collaboration, performance management, process improvement and sales training. We also offered our operational employees technical training through the Kennametal Knowledge Center.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Supporting our learning and development efforts is our OneTeam learning management system (LMS). Available in multiple languages, OneTeam offers more than 26,000 online courses in an easy-to-use interface. Throughout fiscal 2026, over 4,200 employees accessed the LMS and completed over 16,900 courses with over 200 learners engaging with AI-powered features, including AI Coaching for real-time guidance, AI Course Companion for in-course support, and AI Role-Playing to practice and apply skills in realistic scenarios. Training is offered to our employees in many different formats. Although not all training hours are tracked through OneTeam, over 10,000 hours of completed training were recorded in the system during fiscal 2026. </w:t>
      </w:r>
    </w:p>
    <w:p>
      <w:pPr>
        <w:pStyle w:val="TextBody"/>
        <w:bidi w:val="0"/>
        <w:spacing w:lineRule="auto" w:line="288" w:before="120" w:after="283"/>
        <w:jc w:val="left"/>
        <w:rPr/>
      </w:pPr>
      <w:r>
        <w:rPr>
          <w:rFonts w:ascii="Times New Roman;serif" w:hAnsi="Times New Roman;serif"/>
          <w:b w:val="false"/>
          <w:i/>
          <w:color w:val="000000"/>
          <w:sz w:val="20"/>
        </w:rPr>
        <w:t xml:space="preserve">Compensation and Benefits. </w:t>
      </w:r>
      <w:r>
        <w:rPr>
          <w:rFonts w:ascii="Times New Roman;serif" w:hAnsi="Times New Roman;serif"/>
          <w:b w:val="false"/>
          <w:color w:val="000000"/>
          <w:sz w:val="20"/>
        </w:rPr>
        <w:t>The Company offers competitive compensation and benefits packages to build a qualified and motivated workforce and to meet their health and wellness needs. Our overall executive compensation philosophy is designed to attract, incentivize and retain high-performing talent. Executive compensation includes a mix of base salary, annual cash-based incentives under our Annual Incentive Plan (AIP) and our equity-based Long-Term Incentive Plan (LTIP).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AIP, which is largely based on the Company’s achievement of short-term financial and strategic goals, also includes a portion of non-financial metrics, including an individual performance component and a safety component for all executive leadership team members and other key senior leaders.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0"/>
        </w:rPr>
        <w:t xml:space="preserve">Employee Engagement. </w:t>
      </w:r>
      <w:r>
        <w:rPr>
          <w:rFonts w:ascii="Times New Roman;serif" w:hAnsi="Times New Roman;serif"/>
          <w:b w:val="false"/>
          <w:color w:val="000000"/>
          <w:sz w:val="20"/>
        </w:rPr>
        <w:t xml:space="preserve">To measure the effectiveness of our employee engagement strategy, we track key performance indicators such as our voluntary turnover rate. Our voluntary turnover rate was 7.5 percent in 2026 compared to 7.7 percent in 2025. We also conduct annual “Be Heard” employee engagement surveys to gather input and feedback on a wide range of categories including teamwork, inclusion and belonging, health and safety, ethical behavior and decision-making. We use the survey results, which are shared with employees, to refine employee engagement programs and develop new initiatives. In our most recent survey launched in April 2026, we had a response rate of 77 percent and showed a 3-point increase in engagement scores across our global production and professional workforce. </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0"/>
        </w:rPr>
        <w:t>AVAILABLE INFORMATION</w:t>
      </w:r>
      <w:r>
        <w:rPr>
          <w:color w:val="000000"/>
        </w:rPr>
        <w:t xml:space="preserve"> </w:t>
      </w:r>
      <w:r>
        <w:rPr>
          <w:rFonts w:ascii="Times New Roman;serif" w:hAnsi="Times New Roman;serif"/>
          <w:b w:val="false"/>
          <w:color w:val="000000"/>
          <w:sz w:val="20"/>
        </w:rPr>
        <w:t>Our internet address is www.kennametal.com. On the SEC Filings page of our website, which is accessible under the "Investors" tab, then the "Financials" tab, we post the following filings as soon as reasonably practicable after they are electronically filed with or furnished to the Securities and Exchange Commission (SEC): our annual reports on Form 10-K, our annual proxy statements, our annual conflict minerals disclosure and reports on Form SD, our annual reports on Form 11-K, our quarterly reports on Form 10-Q, our current reports on Form 8-K and any amendments to these reports filed or furnished pursuant to Section 13(a) or 15(d) of the Exchange Act. The SEC Filings page of our website also includes Forms 3, 4 and 5 filed pursuant to Section 16(a) of the Exchange Act. All filings posted on our SEC Filings page are available to be viewed on our website free of charge. On the Corporate Governance page of our website, which is accessible under the "Investors" tab, we post the following charters and guidelines: Audit Committee Charter, Compensation and Human Capital Committee Charter, Nominating/Corporate Governance Committee Charter, Kennametal Inc. Corporate Governance Guidelines and Kennametal Inc. Stock Ownership Guidelines. On the Ethics and Compliance page of our website, which is under the "About Us" tab, we post our Code of Conduct. All charters and guidelines posted on our website are available to be viewed free of charge. Information contained on our website is not part of this Annual Report or our other filings with the SEC. Copies of this Annual Report and those items disclosed on the Corporate Governance and Ethics and Compliance pages of our website are available without charge upon written request to: Investor Relations, Kennametal Inc., 525 William Penn Place, Suite 3300, Pittsburgh, Pennsylvania 15219-2706. The SEC maintains an internet site (www.sec.gov) that contains reports, proxy and information statements, and other information regarding issuers, including Kennametal that file electronically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section describes material risks to our business that are currently known to us. Our business, financial condition or results of operations may be materially affected by a number of factors. Our management regularly monitors the risks inherent in our business, with input from our Enterprise Risk Management process. In addition to real time monitoring, we periodically conduct a formal enterprise-wide risk assessment to identify factors and circumstances that might present significant risk to the Company. Many of these risks are discussed throughout this report. The risks below, however, are not exhaustive. We operate in a rapidly changing environment. Other risks that we currently believe to be immaterial could become material in the future. We are also subject to legal and regulatory changes. New factors could emerge, and it is not possible to predict the outcome of all such risk factors on our business, financial condition or results of operations. The following discussion details the material risk factors and uncertainties that we believe could cause Kennametal’s actual results to differ materially from those projected in any forward-looking statements.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Global Operational Risks:</w:t>
      </w:r>
    </w:p>
    <w:p>
      <w:pPr>
        <w:pStyle w:val="TextBody"/>
        <w:bidi w:val="0"/>
        <w:spacing w:lineRule="auto" w:line="288" w:before="120" w:after="283"/>
        <w:jc w:val="left"/>
        <w:rPr/>
      </w:pPr>
      <w:r>
        <w:rPr>
          <w:rFonts w:ascii="Times New Roman;serif" w:hAnsi="Times New Roman;serif"/>
          <w:b/>
          <w:color w:val="000000"/>
          <w:sz w:val="20"/>
        </w:rPr>
        <w:t>The conflicts in the Middle East, Russia’s invasion of Ukraine and other conflicts could adversely affect our business.</w:t>
      </w:r>
      <w:r>
        <w:rPr>
          <w:color w:val="000000"/>
        </w:rPr>
        <w:t xml:space="preserve"> </w:t>
      </w:r>
      <w:r>
        <w:rPr>
          <w:rFonts w:ascii="Times New Roman;serif" w:hAnsi="Times New Roman;serif"/>
          <w:b w:val="false"/>
          <w:color w:val="000000"/>
          <w:sz w:val="20"/>
        </w:rPr>
        <w:t xml:space="preserve">The conflicts in the Middle East that began in October 2023 and in February 2026, as well as the Russian invasion of Ukraine that began in February 2022 have resulted in disruptions within our business and throughout our supply chain. A significant escalation or expansion of these conflicts beyond the current geographic, political and economic scope and scale could have a material adverse effect on our business, results of operations and financial condition and could exacerbate other risks. Such risks include, but are not limited to: an increase in the frequency and severity of the cybersecurity threats we and various third parties with whom we do business experience, unfavorable changes in exchange rates, delivery delays, price inflation in a wide variety of raw materials and components, widespread reductions in customer demand and increased logistical challenges.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 xml:space="preserve">Public health threats or outbreaks of communicable diseases could have a material adverse effect on our operations and financial results. </w:t>
      </w:r>
      <w:r>
        <w:rPr>
          <w:rFonts w:ascii="Times New Roman;serif" w:hAnsi="Times New Roman;serif"/>
          <w:b w:val="false"/>
          <w:color w:val="000000"/>
          <w:sz w:val="20"/>
        </w:rPr>
        <w:t xml:space="preserve">We face risks related to public health threats or outbreaks of communicable diseases. A widespread healthcare crisis, such as an outbreak of a communicable disease could adversely affect the global economy and our business, our suppliers and our customers’ ability to conduct business for an indefinite period of time. For example, the global Coronavirus Disease 2019 (COVID-19) pandemic negatively affected the global economy, disrupted financial markets, international trade, impacted qualified personnel availability, and significantly affected global supply chains, all of which had an effect on the Company and our end markets. The extent to which our business may be affected by public health threats or outbreaks in the future will depend on a variety of factors, many of which are outside of our control, including the duration of a pandemic or outbreak, impacts on economic activity, and the possibility of recession or financial market instability. </w:t>
      </w:r>
    </w:p>
    <w:p>
      <w:pPr>
        <w:pStyle w:val="TextBody"/>
        <w:bidi w:val="0"/>
        <w:spacing w:lineRule="auto" w:line="288" w:before="120" w:after="283"/>
        <w:jc w:val="left"/>
        <w:rPr/>
      </w:pPr>
      <w:r>
        <w:rPr>
          <w:rFonts w:ascii="Times New Roman;serif" w:hAnsi="Times New Roman;serif"/>
          <w:b/>
          <w:color w:val="000000"/>
          <w:sz w:val="20"/>
        </w:rPr>
        <w:t>Downturns in the business cycle could adversely affect our sales and profitability.</w:t>
      </w:r>
      <w:r>
        <w:rPr>
          <w:color w:val="000000"/>
        </w:rPr>
        <w:t xml:space="preserve"> </w:t>
      </w:r>
      <w:r>
        <w:rPr>
          <w:rFonts w:ascii="Times New Roman;serif" w:hAnsi="Times New Roman;serif"/>
          <w:b w:val="false"/>
          <w:color w:val="000000"/>
          <w:sz w:val="20"/>
        </w:rPr>
        <w:t xml:space="preserve">Our business has historically been cyclical and subject to significant effect from economic downturns. Global economic downturns coupled with global financial and credit market disruptions have had a negative effect on our sales and profitability in the past. These events could contribute to weak end markets, a sharp drop in demand for our products and services, higher energy costs and commodity prices, and higher costs of borrowing and/or diminished credit availability. Although we believe that the long-term prospects for our business remain positive, we are unable to predict the future course of industry variables or the strength and pace or sustainability of economic development. </w:t>
      </w:r>
    </w:p>
    <w:p>
      <w:pPr>
        <w:pStyle w:val="TextBody"/>
        <w:bidi w:val="0"/>
        <w:spacing w:lineRule="auto" w:line="288" w:before="120" w:after="283"/>
        <w:jc w:val="left"/>
        <w:rPr/>
      </w:pPr>
      <w:r>
        <w:rPr>
          <w:rFonts w:ascii="Times New Roman;serif" w:hAnsi="Times New Roman;serif"/>
          <w:b/>
          <w:color w:val="000000"/>
          <w:sz w:val="20"/>
        </w:rPr>
        <w:t>Our international operations pose certain risks that may adversely affect sales and earnings.</w:t>
      </w:r>
      <w:r>
        <w:rPr>
          <w:color w:val="000000"/>
        </w:rPr>
        <w:t xml:space="preserve"> </w:t>
      </w:r>
      <w:r>
        <w:rPr>
          <w:rFonts w:ascii="Times New Roman;serif" w:hAnsi="Times New Roman;serif"/>
          <w:b w:val="false"/>
          <w:color w:val="000000"/>
          <w:sz w:val="20"/>
        </w:rPr>
        <w:t>We have manufacturing operations and assets located outside of the U.S., including but not limited to those in Western Europe, Brazil, Canada, China, India, Israel, South Africa and Vietnam. We also sell our products to customers and distributors located outside of the U.S. During the year ended June 30, 2026, 57 percent of our consolidated sales were derived from non-U.S. markets. These international operations are subject to a number of special risks, in addition to the risks that affect our domestic operations, including currency exchange rate fluctuations, differing protections of intellectual property, trade barriers, exchange controls, regional economic uncertainty, overlap of different tax regimens, differing (and possibly more stringent) labor regulations, labor unrest, risk of governmental expropriation, domestic and foreign customs and tariffs, current and changing regulatory environments (including, but not limited to, the risks associated with the importation and exportation of products and raw materials), risk of failure of our foreign employees to comply with both U.S. and foreign laws, including antitrust laws, trade regulations and the Foreign Corrupt Practices Act, difficulty in obtaining distribution support, difficulty in staffing and managing widespread operations, differences in the availability and terms of financing, social and political instability and unrest and risks of increased taxes and/or adverse tax consequences. Also, in some foreign jurisdictions, we may be subject to laws limiting the right and ability of entities organized or operating therein to pay dividends or remit earnings to affiliated companies unless specified conditions are met. To the extent we are unable to effectively manage our international operations and these risks, our international sales may be adversely affected, we may be subject to additional and unanticipated costs, and we may be subject to litigation or regulatory action. As a consequence, our business, financial condition and results of operations could be seriously harmed.</w:t>
      </w:r>
    </w:p>
    <w:p>
      <w:pPr>
        <w:pStyle w:val="TextBody"/>
        <w:bidi w:val="0"/>
        <w:spacing w:lineRule="auto" w:line="288" w:before="120" w:after="283"/>
        <w:jc w:val="left"/>
        <w:rPr/>
      </w:pPr>
      <w:r>
        <w:rPr>
          <w:rFonts w:ascii="Times New Roman;serif" w:hAnsi="Times New Roman;serif"/>
          <w:b/>
          <w:color w:val="000000"/>
          <w:sz w:val="20"/>
        </w:rPr>
        <w:t>Additional tax expense or exposures could affect our financial condition and results of operations. </w:t>
      </w:r>
      <w:r>
        <w:rPr>
          <w:rFonts w:ascii="Times New Roman;serif" w:hAnsi="Times New Roman;serif"/>
          <w:b w:val="false"/>
          <w:color w:val="000000"/>
          <w:sz w:val="20"/>
        </w:rPr>
        <w:t>We are subject to various taxes in the U.S. and numerous other jurisdictions. Our future results of operations could be adversely affected by changes in our effective tax rate as a result of a change in the mix of earnings between U.S. and non-U.S. jurisdictions or among jurisdictions with differing statutory tax rates, changes in tax laws or treaties, or in their application or interpretation, changes in generally accepted accounting principles, changes in the valuation of deferred tax assets and liabilities, including the realizability of deferred tax assets, changes in the amount of earnings indefinitely reinvested in certain non-U.S. jurisdictions, and the results of audits and examinations of previously filed tax returns and continuing assessments of our tax exposures.</w:t>
      </w:r>
    </w:p>
    <w:p>
      <w:pPr>
        <w:pStyle w:val="TextBody"/>
        <w:bidi w:val="0"/>
        <w:spacing w:lineRule="auto" w:line="288" w:before="120" w:after="283"/>
        <w:jc w:val="left"/>
        <w:rPr/>
      </w:pPr>
      <w:r>
        <w:rPr>
          <w:rFonts w:ascii="Times New Roman;serif" w:hAnsi="Times New Roman;serif"/>
          <w:b/>
          <w:color w:val="000000"/>
          <w:sz w:val="20"/>
        </w:rPr>
        <w:t xml:space="preserve">Implementation of tariffs and changes to or uncertainties related to tariffs and trade agreements could adversely affect our business. </w:t>
      </w:r>
      <w:r>
        <w:rPr>
          <w:rFonts w:ascii="Times New Roman;serif" w:hAnsi="Times New Roman;serif"/>
          <w:b w:val="false"/>
          <w:color w:val="000000"/>
          <w:sz w:val="20"/>
        </w:rPr>
        <w:t>The U.S. government has imposed, proposed and modified tariffs on imports from various countries that it perceives as engaging in unfair trade practices and additional tariffs or trade restrictions may be imposed in the future. In response, many of these foreign governments have imposed retaliatory tariffs on goods that their countries import from the U.S. or have enacted export restrictions on certain goods, including critical minerals, produced in their country. Uncertainties with respect to tariffs, trade agreements or any potential trade wars could negatively affect the global economy and demand for our products and could have a material adverse effect on our financial condition, results of operations and cash flows. Changes in tariffs and trade barriers could also result in adverse changes in the cost and availability of our raw materials, most notably tungsten, and our ability to manufacture globally to support global sales which could lead to increased costs that we may not be able to effectively pass on to customers, each of which could materially adversely affect our operating margins,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Natural disasters or other global or regional catastrophic events could disrupt our operations and adversely affect results.</w:t>
      </w:r>
      <w:r>
        <w:rPr>
          <w:color w:val="000000"/>
        </w:rPr>
        <w:t xml:space="preserve"> </w:t>
      </w:r>
      <w:r>
        <w:rPr>
          <w:rFonts w:ascii="Times New Roman;serif" w:hAnsi="Times New Roman;serif"/>
          <w:b w:val="false"/>
          <w:color w:val="000000"/>
          <w:sz w:val="20"/>
        </w:rPr>
        <w:t xml:space="preserve">Despite our concerted effort to minimize risk to our production capabilities and corporate information systems and to reduce the effect of unforeseen interruptions to us through business continuity planning, we still may be exposed to interruptions due to catastrophe, natural disaster, pandemic, terrorism or acts of war, which are beyond our control. Disruptions to our facilities or systems, or to those of our key suppliers, could also interrupt operational processes and adversely affect our ability to manufacture our products and provide services and support to our customers. As a result, our business, our results of operations, financial position, cash flows and stock price could be adversely affected.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Changes in the regulatory environment, including environmental, health and safety regulations, could subject us to increased compliance and manufacturing costs, which could have a material adverse effect on our business. </w:t>
      </w:r>
    </w:p>
    <w:p>
      <w:pPr>
        <w:pStyle w:val="TextBody"/>
        <w:bidi w:val="0"/>
        <w:spacing w:lineRule="auto" w:line="288" w:before="120" w:after="283"/>
        <w:jc w:val="left"/>
        <w:rPr/>
      </w:pPr>
      <w:r>
        <w:rPr>
          <w:rFonts w:ascii="Times New Roman;serif" w:hAnsi="Times New Roman;serif"/>
          <w:b w:val="false"/>
          <w:i/>
          <w:color w:val="000000"/>
          <w:sz w:val="20"/>
        </w:rPr>
        <w:t>Health and safety regulations.</w:t>
      </w:r>
      <w:r>
        <w:rPr>
          <w:color w:val="000000"/>
        </w:rPr>
        <w:t xml:space="preserve"> </w:t>
      </w:r>
      <w:r>
        <w:rPr>
          <w:rFonts w:ascii="Times New Roman;serif" w:hAnsi="Times New Roman;serif"/>
          <w:b w:val="false"/>
          <w:color w:val="000000"/>
          <w:sz w:val="20"/>
        </w:rPr>
        <w:t>Certain of our products contain hard metals, including tungsten and cobalt. Hard metal dust is being studied for potential adverse health effects by organizations in several regions throughout the world, including the U.S., Europe and Japan. Future studies on the health effects of hard metals may result in our products being classified as hazardous to human health, which could lead to new regulations in countries in which we operate that may restrict or prohibit the use of, and/or exposure to, hard metal dust. New regulation of hard metals could require us to change our operations, and these changes could affect the quality of our products and materially increase our costs.</w:t>
      </w:r>
    </w:p>
    <w:p>
      <w:pPr>
        <w:pStyle w:val="TextBody"/>
        <w:bidi w:val="0"/>
        <w:spacing w:lineRule="auto" w:line="288" w:before="120" w:after="283"/>
        <w:jc w:val="left"/>
        <w:rPr/>
      </w:pPr>
      <w:r>
        <w:rPr>
          <w:rFonts w:ascii="Times New Roman;serif" w:hAnsi="Times New Roman;serif"/>
          <w:b w:val="false"/>
          <w:i/>
          <w:color w:val="000000"/>
          <w:sz w:val="20"/>
        </w:rPr>
        <w:t>Environmental regulations.</w:t>
      </w:r>
      <w:r>
        <w:rPr>
          <w:color w:val="000000"/>
        </w:rPr>
        <w:t xml:space="preserve"> </w:t>
      </w:r>
      <w:r>
        <w:rPr>
          <w:rFonts w:ascii="Times New Roman;serif" w:hAnsi="Times New Roman;serif"/>
          <w:b w:val="false"/>
          <w:color w:val="000000"/>
          <w:sz w:val="20"/>
        </w:rPr>
        <w:t>We are subject to various environmental laws, and any violation of, or our liabilities under, these laws could adversely affect us. Our operations necessitate the use and handling of hazardous materials and, as a result, we are subject to various federal, state, local and foreign laws, regulations and ordinances relating to the protection of the environment, including those governing discharges to air and water, handling and disposal practices for solid and hazardous wastes, the cleanup of contaminated sites and the maintenance of a safe workplace. These laws impose penalties, fines and other sanctions for noncompliance and liability for response costs, property damages and personal injury resulting from past and current spills, disposals or other releases of, or exposure to, hazardous materials. We could incur substantial costs as a result of noncompliance with or liability for cleanup or other costs or damages under these laws. We may be subject to more stringent environmental laws in the future. If more stringent environmental laws are enacted in the future, these laws could have a material adverse effect on our business, financial condition and results of operations.</w:t>
      </w:r>
    </w:p>
    <w:p>
      <w:pPr>
        <w:pStyle w:val="TextBody"/>
        <w:bidi w:val="0"/>
        <w:spacing w:lineRule="auto" w:line="288" w:before="120" w:after="283"/>
        <w:jc w:val="left"/>
        <w:rPr/>
      </w:pPr>
      <w:r>
        <w:rPr>
          <w:rFonts w:ascii="Times New Roman;serif" w:hAnsi="Times New Roman;serif"/>
          <w:b w:val="false"/>
          <w:i/>
          <w:color w:val="000000"/>
          <w:sz w:val="20"/>
        </w:rPr>
        <w:t>Regulations affecting the mining and drilling industries, utilities industry or the use of fossil fuels.</w:t>
      </w:r>
      <w:r>
        <w:rPr>
          <w:color w:val="000000"/>
        </w:rPr>
        <w:t xml:space="preserve"> </w:t>
      </w:r>
      <w:r>
        <w:rPr>
          <w:rFonts w:ascii="Times New Roman;serif" w:hAnsi="Times New Roman;serif"/>
          <w:b w:val="false"/>
          <w:color w:val="000000"/>
          <w:sz w:val="20"/>
        </w:rPr>
        <w:t>Some of our principal customers are mining and drilling companies that supply coal, oil, gas or other fuels as a source of energy to utility companies or for transportation. The operations of these mining and drilling companies are geographically diverse and are subject to or affected by a wide array of regulations in the jurisdictions where they operate. As a result of changes in regulations and laws relating to these industries, including, without limitation, actions to limit or reduce greenhouse gas emissions from the use of fossil fuels, our customers’ operations could be disrupted or curtailed by governmental authorities. The high cost of compliance with these regulations may also induce customers to discontinue or limit their operations and may discourage companies from developing new opportunities. As a result of these factors, demand for our mining- and drilling-related products could be substantially affected by regulations adversely affecting the mining and drilling industries or altering the fuel choices of utilities or in transportation. Our principal customers also include transportation original equipment manufacturers and tier suppliers engaged in the production of internal combustion engines. As a result of breakthrough technologies, changing consumer preferences or regulations designed to limit or reduce greenhouse gas emissions from the use of fossil fuels in transportation, demand for our products could be negatively affected.</w:t>
      </w:r>
    </w:p>
    <w:p>
      <w:pPr>
        <w:pStyle w:val="TextBody"/>
        <w:bidi w:val="0"/>
        <w:spacing w:lineRule="auto" w:line="288" w:before="120" w:after="283"/>
        <w:jc w:val="left"/>
        <w:rPr/>
      </w:pPr>
      <w:r>
        <w:rPr>
          <w:rFonts w:ascii="Times New Roman;serif" w:hAnsi="Times New Roman;serif"/>
          <w:b w:val="false"/>
          <w:i/>
          <w:color w:val="000000"/>
          <w:sz w:val="20"/>
        </w:rPr>
        <w:t xml:space="preserve">Climate change and resulting legal or regulatory responses. </w:t>
      </w:r>
      <w:r>
        <w:rPr>
          <w:rFonts w:ascii="Times New Roman;serif" w:hAnsi="Times New Roman;serif"/>
          <w:b w:val="false"/>
          <w:color w:val="000000"/>
          <w:sz w:val="20"/>
        </w:rPr>
        <w:t xml:space="preserve">There is growing concern that a gradual increase in global average temperatures may cause significant changes in weather patterns around the globe and an increase in the frequency and severity of natural disasters. Such climate change may impair our production capabilities, disrupt our supply chain or impact demand for our products. Growing concern over climate change also may result in additional legal or regulatory requirements designed to reduce or mitigate the effects of carbon dioxide and other greenhouse gas emissions on the environment. Increased energy or compliance costs and expenses as a result of increased legal or regulatory requirements may cause disruptions in, or an increase in the costs associated with, the manufacturing and distribution of our products. The impacts of climate change and legal or regulatory initiatives to address climate change could have a long-term adverse impact on our business, financial condition and results of operations. </w:t>
      </w:r>
    </w:p>
    <w:p>
      <w:pPr>
        <w:pStyle w:val="TextBody"/>
        <w:bidi w:val="0"/>
        <w:spacing w:lineRule="auto" w:line="288" w:before="120" w:after="283"/>
        <w:jc w:val="left"/>
        <w:rPr/>
      </w:pPr>
      <w:r>
        <w:rPr>
          <w:rFonts w:ascii="Times New Roman;serif" w:hAnsi="Times New Roman;serif"/>
          <w:b/>
          <w:color w:val="000000"/>
          <w:sz w:val="20"/>
        </w:rPr>
        <w:t>Product liability claims could have a material adverse effect on our business.</w:t>
      </w:r>
      <w:r>
        <w:rPr>
          <w:color w:val="000000"/>
        </w:rPr>
        <w:t xml:space="preserve"> </w:t>
      </w:r>
      <w:r>
        <w:rPr>
          <w:rFonts w:ascii="Times New Roman;serif" w:hAnsi="Times New Roman;serif"/>
          <w:b w:val="false"/>
          <w:color w:val="000000"/>
          <w:sz w:val="20"/>
        </w:rPr>
        <w:t>The sale of metal cutting, mining, highway construction and other tools and related products as well as engineered components and advanced materials entails an inherent risk of product liability claims. We cannot give any assurances that the coverage limits of our insurance policies will be adequate or that our policies will cover any particular loss. Insurance can be expensive, and we may not always be able to purchase insurance on commercially acceptable terms, if at all. Claims brought against us that are not covered by insurance or that result in recoveries in excess of our insurance coverage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Business Strategy Risks:</w:t>
      </w:r>
    </w:p>
    <w:p>
      <w:pPr>
        <w:pStyle w:val="TextBody"/>
        <w:bidi w:val="0"/>
        <w:spacing w:lineRule="auto" w:line="288" w:before="120" w:after="283"/>
        <w:jc w:val="left"/>
        <w:rPr/>
      </w:pPr>
      <w:r>
        <w:rPr>
          <w:rFonts w:ascii="Times New Roman;serif" w:hAnsi="Times New Roman;serif"/>
          <w:b/>
          <w:color w:val="000000"/>
          <w:sz w:val="20"/>
        </w:rPr>
        <w:t xml:space="preserve">Our restructuring efforts may not have the intended effects. </w:t>
      </w:r>
      <w:r>
        <w:rPr>
          <w:rFonts w:ascii="Times New Roman;serif" w:hAnsi="Times New Roman;serif"/>
          <w:b w:val="false"/>
          <w:color w:val="000000"/>
          <w:sz w:val="20"/>
        </w:rPr>
        <w:t xml:space="preserve">We have implemented restructuring and other actions to reduce structural costs, improve operational efficiency and position the Company for long-term profitable growth. However, there is no assurance that these efforts, or that any other actions that we have taken or may take in the future, will be sufficient to counter any future economic or industry disruptions. We cannot provide assurance that we will not incur future restructuring charges or impairment charges, or that we will achieve all of the anticipated benefits from the restructuring actions we have taken or plan to take in the future. </w:t>
      </w:r>
    </w:p>
    <w:p>
      <w:pPr>
        <w:pStyle w:val="TextBody"/>
        <w:bidi w:val="0"/>
        <w:spacing w:lineRule="auto" w:line="288" w:before="120" w:after="283"/>
        <w:jc w:val="left"/>
        <w:rPr/>
      </w:pPr>
      <w:r>
        <w:rPr>
          <w:rFonts w:ascii="Times New Roman;serif" w:hAnsi="Times New Roman;serif"/>
          <w:b/>
          <w:color w:val="000000"/>
          <w:sz w:val="20"/>
        </w:rPr>
        <w:t>We may not be able to complete, manage or integrate acquisitions successfully.</w:t>
      </w:r>
      <w:r>
        <w:rPr>
          <w:color w:val="000000"/>
        </w:rPr>
        <w:t xml:space="preserve"> </w:t>
      </w:r>
      <w:r>
        <w:rPr>
          <w:rFonts w:ascii="Times New Roman;serif" w:hAnsi="Times New Roman;serif"/>
          <w:b w:val="false"/>
          <w:color w:val="000000"/>
          <w:sz w:val="20"/>
        </w:rPr>
        <w:t>We may evaluate acquisition opportunities that have the potential to strengthen or expand our business. We can give no assurances, however, that any acquisition opportunities will arise or if they do, that they will be consummated, or that additional financing, if needed, will be available on satisfactory terms. In addition, acquisitions involve inherent risks that the businesses acquired will not perform in accordance with our expectations. We may not be able to achieve the synergies and other benefits we expect from the integration of acquisitions as successfully or rapidly as projected, if at all. Our failure to consummate an acquisition or effectively integrate newly acquired operations could prevent us from realizing our expected strategic growth and rate of return on an acquired business and could have a material and adverse effect on our results of operations and financial condition.</w:t>
      </w:r>
    </w:p>
    <w:p>
      <w:pPr>
        <w:pStyle w:val="TextBody"/>
        <w:bidi w:val="0"/>
        <w:spacing w:lineRule="auto" w:line="288" w:before="120" w:after="283"/>
        <w:jc w:val="left"/>
        <w:rPr/>
      </w:pPr>
      <w:r>
        <w:rPr>
          <w:rFonts w:ascii="Times New Roman;serif" w:hAnsi="Times New Roman;serif"/>
          <w:b/>
          <w:color w:val="000000"/>
          <w:sz w:val="20"/>
        </w:rPr>
        <w:t xml:space="preserve">Impairment of goodwill could result in a negative effect on our financial condition and results of operations. </w:t>
      </w:r>
      <w:r>
        <w:rPr>
          <w:rFonts w:ascii="Times New Roman;serif" w:hAnsi="Times New Roman;serif"/>
          <w:b w:val="false"/>
          <w:color w:val="000000"/>
          <w:sz w:val="20"/>
        </w:rPr>
        <w:t>At June 30, 2026, goodwill totaled $279.2 million, or 9 percent of our total assets. Goodwill results from acquisitions, representing the excess of cost over the fair value of the net tangible and other identifiable intangible assets we have acquired. We assess at least annually whether there has been impairment in the value of our goodwill. If future operating performance at our Metal Cutting reporting unit were to fall significantly below current levels, we could record, under current applicable accounting rules, a non-cash impairment charge for goodwill. Any determination requiring the impairment of a significant portion of goodwill would negatively affect our financial condition and results of operations.</w:t>
      </w:r>
    </w:p>
    <w:p>
      <w:pPr>
        <w:pStyle w:val="TextBody"/>
        <w:bidi w:val="0"/>
        <w:spacing w:lineRule="auto" w:line="288" w:before="120" w:after="283"/>
        <w:jc w:val="left"/>
        <w:rPr/>
      </w:pPr>
      <w:r>
        <w:rPr>
          <w:rFonts w:ascii="Times New Roman;serif" w:hAnsi="Times New Roman;serif"/>
          <w:b/>
          <w:color w:val="000000"/>
          <w:sz w:val="20"/>
        </w:rPr>
        <w:t>Our continued success depends on our ability to protect and defend our intellectual property.</w:t>
      </w:r>
      <w:r>
        <w:rPr>
          <w:color w:val="000000"/>
        </w:rPr>
        <w:t xml:space="preserve"> </w:t>
      </w:r>
      <w:r>
        <w:rPr>
          <w:rFonts w:ascii="Times New Roman;serif" w:hAnsi="Times New Roman;serif"/>
          <w:b w:val="false"/>
          <w:color w:val="000000"/>
          <w:sz w:val="20"/>
        </w:rPr>
        <w:t xml:space="preserve">Our future success depends in part upon our ability to protect and defend our intellectual property. We rely principally on nondisclosure agreements and other contractual arrangements and trade secret laws and, to a lesser extent, trademark and patent laws, to protect our intellectual property. However, these measures may be inadequate to protect our intellectual property from infringement by others or prevent misappropriation of our proprietary rights. In addition, the laws of some foreign countries do not protect proprietary rights to the same extent as do U.S. laws. If one of our patents is infringed upon by a third party, we may need to devote significant time and financial resources to defend our rights with respect to such patent. We may not be successful in defending our patents. Similarly, while we do not knowingly infringe on the patents, copyrights or other intellectual property rights of others, we may be required to spend a significant amount of time and financial resources to resolve any infringement claims against us, and we may not be successful in defending our position or negotiating alternative remedies. Our inability to protect our proprietary information and enforce or defend our intellectual property rights in proceedings initiated by us or brought against us could have a material adverse effect on our business, financial condition and results of operations. </w:t>
      </w:r>
    </w:p>
    <w:p>
      <w:pPr>
        <w:pStyle w:val="TextBody"/>
        <w:bidi w:val="0"/>
        <w:spacing w:lineRule="auto" w:line="288" w:before="120" w:after="283"/>
        <w:jc w:val="left"/>
        <w:rPr/>
      </w:pPr>
      <w:r>
        <w:rPr>
          <w:rFonts w:ascii="Times New Roman;serif" w:hAnsi="Times New Roman;serif"/>
          <w:b/>
          <w:color w:val="000000"/>
          <w:sz w:val="20"/>
        </w:rPr>
        <w:t>If we are unable to retain our qualified management and employees, our business may be negatively affected.</w:t>
      </w:r>
      <w:r>
        <w:rPr>
          <w:color w:val="000000"/>
        </w:rPr>
        <w:t xml:space="preserve"> </w:t>
      </w:r>
      <w:r>
        <w:rPr>
          <w:rFonts w:ascii="Times New Roman;serif" w:hAnsi="Times New Roman;serif"/>
          <w:b w:val="false"/>
          <w:color w:val="000000"/>
          <w:sz w:val="20"/>
        </w:rPr>
        <w:t>Our ability to provide high quality products and services depends in part on our ability to retain our skilled personnel in the areas of management, product engineering, servicing and sales. Competition for such personnel is intense, and our competitors can be expected to attempt to hire our management and skilled employees from time to time. In addition, our restructuring activities and strategies for growth have placed, and are expected to continue to place, increased demands on our management’s skills and resources. If we are unable to retain our management team and professional personnel, our customer relationships and level of technical expertise could be negatively affected, which may materially and adversely affect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interruption of our workforce, including interruptions due to our restructuring initiatives, unionization efforts, changes in labor relations or shortages of appropriately skilled individuals could affect our business. </w:t>
      </w:r>
    </w:p>
    <w:p>
      <w:pPr>
        <w:pStyle w:val="TextBody"/>
        <w:bidi w:val="0"/>
        <w:spacing w:lineRule="auto" w:line="288" w:before="120" w:after="283"/>
        <w:jc w:val="left"/>
        <w:rPr/>
      </w:pPr>
      <w:r>
        <w:rPr>
          <w:rFonts w:ascii="Times New Roman;serif" w:hAnsi="Times New Roman;serif"/>
          <w:b/>
          <w:color w:val="000000"/>
          <w:sz w:val="20"/>
        </w:rPr>
        <w:t>We operate in a highly competitive environment.</w:t>
      </w:r>
      <w:r>
        <w:rPr>
          <w:color w:val="000000"/>
        </w:rPr>
        <w:t xml:space="preserve"> </w:t>
      </w:r>
      <w:r>
        <w:rPr>
          <w:rFonts w:ascii="Times New Roman;serif" w:hAnsi="Times New Roman;serif"/>
          <w:b w:val="false"/>
          <w:color w:val="000000"/>
          <w:sz w:val="20"/>
        </w:rPr>
        <w:t>Our domestic and foreign operations are subject to significant competitive pressures. We compete directly and indirectly with other manufacturers and suppliers of metal cutting tools, engineered components and advanced materials. Some of our competitors are larger than we are and may have greater access to financial resources or be less leveraged than us. In addition, the industry in which our products are used is a large, fragmented industry that is highly competitive.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Cybersecurity Risks:</w:t>
      </w:r>
    </w:p>
    <w:p>
      <w:pPr>
        <w:pStyle w:val="TextBody"/>
        <w:bidi w:val="0"/>
        <w:spacing w:lineRule="auto" w:line="288" w:before="120" w:after="283"/>
        <w:jc w:val="left"/>
        <w:rPr/>
      </w:pPr>
      <w:r>
        <w:rPr>
          <w:rFonts w:ascii="Times New Roman;serif" w:hAnsi="Times New Roman;serif"/>
          <w:b/>
          <w:color w:val="000000"/>
          <w:sz w:val="20"/>
        </w:rPr>
        <w:t xml:space="preserve">Failure of, or a breach in security of, our information technology systems could adversely affect our business. </w:t>
      </w:r>
      <w:r>
        <w:rPr>
          <w:rFonts w:ascii="Times New Roman;serif" w:hAnsi="Times New Roman;serif"/>
          <w:b w:val="false"/>
          <w:color w:val="000000"/>
          <w:sz w:val="20"/>
        </w:rPr>
        <w:t>We rely on information technology infrastructure (both on-premises and third-party managed) to achieve our business objectives. Despite security measures taken by us, our information technology systems may be vulnerable to computer viruses or attacks by hackers or breached due to employee error, supplier error, programming errors, malfeasance or other disruptions. Any disruption of our infrastructure could negatively affect our ability to record or process orders, manufacture and ship in a timely manner, or otherwise carry on business in the normal course. Any disruption could cause us to lose customers or revenue and could require us to incur significant expense to remediate. Increased global information technology threats, vulnerabilities, and a rise in sophisticated and targeted international computer crime pose a risk to the security of our systems and networks and the confidentiality, availability and integrity of our data. Any such breach in security could expose the Company and its employees, customers and suppliers to risks of misuse of confidential information, manipulation and destruction of data, production downtimes, litigation and operational disruptions, which in turn could adversely affect the Company's reputation, competitive position, business or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we could be subject to liability if confidential information relating to customers, employees, vendors and the extended supply chain or other parties is misappropriated from our computer system. We cannot assure that our ongoing focus on system improvements will be sufficient to prevent or limit the damage from any cyber-attack or network disruption. We do not believe we have been the target of a material successful cyber-attack.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Raw Material Risks:</w:t>
      </w:r>
    </w:p>
    <w:p>
      <w:pPr>
        <w:pStyle w:val="TextBody"/>
        <w:bidi w:val="0"/>
        <w:spacing w:lineRule="auto" w:line="288" w:before="120" w:after="283"/>
        <w:jc w:val="left"/>
        <w:rPr/>
      </w:pPr>
      <w:r>
        <w:rPr>
          <w:rFonts w:ascii="Times New Roman;serif" w:hAnsi="Times New Roman;serif"/>
          <w:b/>
          <w:color w:val="000000"/>
          <w:sz w:val="20"/>
        </w:rPr>
        <w:t>Our future operating results may be affected by fluctuations in the prices and availability of raw materials.</w:t>
      </w:r>
      <w:r>
        <w:rPr>
          <w:color w:val="000000"/>
        </w:rPr>
        <w:t xml:space="preserve"> </w:t>
      </w:r>
      <w:r>
        <w:rPr>
          <w:rFonts w:ascii="Times New Roman;serif" w:hAnsi="Times New Roman;serif"/>
          <w:b w:val="false"/>
          <w:color w:val="000000"/>
          <w:sz w:val="20"/>
        </w:rPr>
        <w:t>The raw materials we use for our products include tungsten ore concentrates and scrap carbide, which are used to make tungsten oxide, as well as compounds and secondary materials such as cobalt. We also purchase steel bars and forgings for making toolholders and other tool parts, as well as for producing mining tools, rotary cutting tools and accessories. A significant portion of our raw materials is supplied by sources outside of the U.S., including tungsten, the global supply of which is concentrated in China. The raw materials extraction industry is highly cyclical and at times pricing and supply can be volatile due to a number of factors beyond our control, including natural disasters, pandemics or public health issues, general economic and political conditions, labor costs, competition, import duties, tariffs, export restrictions enacted by foreign governments and currency exchange rate fluctuations. This volatility can significantly affect our raw material costs. In an environment of increasing raw material prices, competitive conditions can affect how much of these price increases we can recover in the form of higher sales prices for our products. To the extent we are unable to pass on any raw material price increases to our customers, our profitability could be adversely affected. Furthermore, restrictions in the supply of tungsten, cobalt and other raw materials could adversely affect our operating results. Increased raw material costs could also increase our working capital requirements and negatively affect our liquidity. Conversely, if raw material prices decline significantly, we could face product pricing challenges or the net realizable value of certain inventory may fall below carrying value, requiring inventory write-downs that could adversely affect our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Capital and Credit-Related Risks:</w:t>
      </w:r>
    </w:p>
    <w:p>
      <w:pPr>
        <w:pStyle w:val="TextBody"/>
        <w:bidi w:val="0"/>
        <w:spacing w:lineRule="auto" w:line="288" w:before="120" w:after="283"/>
        <w:jc w:val="left"/>
        <w:rPr/>
      </w:pPr>
      <w:r>
        <w:rPr>
          <w:rFonts w:ascii="Times New Roman;serif" w:hAnsi="Times New Roman;serif"/>
          <w:b/>
          <w:color w:val="000000"/>
          <w:sz w:val="20"/>
        </w:rPr>
        <w:t xml:space="preserve">Restrictions contained in our revolving credit facility and other debt agreements may limit our ability to incur additional indebtedness. </w:t>
      </w:r>
      <w:r>
        <w:rPr>
          <w:rFonts w:ascii="Times New Roman;serif" w:hAnsi="Times New Roman;serif"/>
          <w:b w:val="false"/>
          <w:color w:val="000000"/>
          <w:sz w:val="20"/>
        </w:rPr>
        <w:t>Our existing revolving credit facility and other debt agreements (each a “Debt Facility” and collectively, “Debt Facilities”) contain restrictive covenants, including restrictions on our ability to incur indebtedness. These restrictions could limit our ability to effectuate future acquisitions, limit our ability to pay dividends, limit our ability to make capital expenditures or restrict our financial flexibility. Our revolving credit facility contains covenants requiring us to achieve certain financial and operating results and maintain compliance with a specified financial ratio. Our ability to meet the financial covenant or requirements in our revolving credit facility may be affected by events beyond our control, and we may not be able to satisfy such covenants and requirements. A breach of these covenants or our inability to comply with the financial ratio, tests or other restrictions contained in a Debt Facility could result in an event of default under one or more of our other Debt Facilities. Upon the occurrence of an event of default under a Debt Facility, and the expiration of any grace periods, the lenders could elect to declare all amounts outstanding under one or more of our other Debt Facilities, together with accrued interest, to be immediately due and payable. If this were to occur, our assets may not be sufficient to fully repay the amounts due under our Debt Facilities or our other indebtedness.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1B – UNRESOLVED STAFF COMMENTS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1C – CYBERSECURITY</w:t>
      </w:r>
    </w:p>
    <w:p>
      <w:pPr>
        <w:pStyle w:val="TextBody"/>
        <w:bidi w:val="0"/>
        <w:spacing w:lineRule="auto" w:line="288" w:before="120" w:after="283"/>
        <w:jc w:val="left"/>
        <w:rPr/>
      </w:pPr>
      <w:r>
        <w:rPr>
          <w:rFonts w:ascii="Times New Roman;serif" w:hAnsi="Times New Roman;serif"/>
          <w:b w:val="false"/>
          <w:i/>
          <w:color w:val="000000"/>
          <w:sz w:val="20"/>
        </w:rPr>
        <w:t>Risk Management and Strategy</w:t>
      </w:r>
      <w:r>
        <w:rPr>
          <w:rFonts w:ascii="Times New Roman;serif" w:hAnsi="Times New Roman;serif"/>
          <w:b w:val="false"/>
          <w:color w:val="000000"/>
          <w:sz w:val="20"/>
        </w:rPr>
        <w:t>. We assess, identify and manage cybersecurity risks through a structured process. We rely on the National Institute of Standards and Technology (“NIST”) Cybersecurity Framework to guide our approach; covering risk identification, analysis, prioritization and treatment. We continuously monitor and mitigate identified risks, particularly those deemed significant to the Company, including, but not limited to: operational risk (i.e., disruption of business operations); intellectual property theft; fraud; extortion; harm to employees or customers; violation of privacy laws and other litigation and legal risk; and reputational risk, which are tracked through our enterprise risk management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closely oversee risks associated with using third-party service providers. This involves evaluating their adherence to our security requirements, conducting technical assessments, monitoring their operational performance and establishing incident reporting protocols when our information is impacted by cyber incidents.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Despite our efforts, we acknowledge the potential impact of cyber threats on our operations and business. While the Company has not experienced any significant risks from cyber threats to date, we recognize the potential consequences, including operational disruptions, legal costs, damage to our reputation and financial impacts. We remain vigilant and proactive in managing these risks. We deploy state-of-the-art technologies and services to help us identify and respond to security incidents, manage a 24/7 Security Operations Center and regularly test our preparedness for cyber incidents. These efforts enable us to effectively recognize and respond to low-impact incidents, avoiding their escalation to more problematic situations.</w:t>
      </w:r>
    </w:p>
    <w:p>
      <w:pPr>
        <w:pStyle w:val="TextBody"/>
        <w:bidi w:val="0"/>
        <w:spacing w:lineRule="auto" w:line="288" w:before="120" w:after="283"/>
        <w:jc w:val="left"/>
        <w:rPr/>
      </w:pPr>
      <w:r>
        <w:rPr>
          <w:rFonts w:ascii="Times New Roman;serif" w:hAnsi="Times New Roman;serif"/>
          <w:b w:val="false"/>
          <w:i/>
          <w:color w:val="000000"/>
          <w:sz w:val="20"/>
        </w:rPr>
        <w:t>Governance</w:t>
      </w:r>
      <w:r>
        <w:rPr>
          <w:rFonts w:ascii="Times New Roman;serif" w:hAnsi="Times New Roman;serif"/>
          <w:b w:val="false"/>
          <w:color w:val="000000"/>
          <w:sz w:val="20"/>
        </w:rPr>
        <w:t>. The Board of Directors of the Company maintains oversight of cybersecurity risks, ensuring the effectiveness of our risk management processes. The Audit Committee is specifically tasked with monitoring cybersecurity risks, evaluating our approach to cybersecurity, assessing emerging threats and ensuring appropriate measures are in place to mitigate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led by the Chief Information Security Officer (the “CISO”), plays a crucial role in assessing and managing cybersecurity risks. The CISO holds a Master of Science in Information Security and Assurance along with other technical certifications, has over 20 years of experience in cybersecurity and has extensive experience managing cybersecurity programs in multinational manufacturing companies. The IT Risk Management Committee, under guidance of the CISO, oversees the assessment and mitigation of identified risks. Regular reporting mechanisms keep the Board of Directors of the Company informed about our cybersecurity posture and emerging risks; enabling informed decision-making regarding cybersecurity strategy and resource allocation.</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 PROPERTIES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525 William Penn Place, Suite 3300, Pittsburgh, Pennsylvania, 15219. We also have corporate offices in Neuhausen, Switzerland, Bangalore, India and Singapore. Our technology center is located at 1600 Technology Way, P.O. Box 231, Latrobe, Pennsylvania, 15650. A summary of our principal manufacturing facilities and other materially important properties is as follows:</w:t>
      </w:r>
    </w:p>
    <w:tbl>
      <w:tblPr>
        <w:tblW w:w="10205" w:type="dxa"/>
        <w:jc w:val="left"/>
        <w:tblInd w:w="0" w:type="dxa"/>
        <w:tblLayout w:type="fixed"/>
        <w:tblCellMar>
          <w:top w:w="28" w:type="dxa"/>
          <w:left w:w="28" w:type="dxa"/>
          <w:bottom w:w="28" w:type="dxa"/>
          <w:right w:w="28" w:type="dxa"/>
        </w:tblCellMar>
      </w:tblPr>
      <w:tblGrid>
        <w:gridCol w:w="612"/>
        <w:gridCol w:w="536"/>
        <w:gridCol w:w="537"/>
        <w:gridCol w:w="206"/>
        <w:gridCol w:w="206"/>
        <w:gridCol w:w="206"/>
        <w:gridCol w:w="389"/>
        <w:gridCol w:w="389"/>
        <w:gridCol w:w="390"/>
        <w:gridCol w:w="1804"/>
        <w:gridCol w:w="1740"/>
        <w:gridCol w:w="1731"/>
        <w:gridCol w:w="236"/>
        <w:gridCol w:w="221"/>
        <w:gridCol w:w="221"/>
        <w:gridCol w:w="237"/>
        <w:gridCol w:w="221"/>
        <w:gridCol w:w="323"/>
      </w:tblGrid>
      <w:tr>
        <w:trPr/>
        <w:tc>
          <w:tcPr>
            <w:tcW w:w="61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Primary Segment</w:t>
            </w:r>
          </w:p>
        </w:tc>
      </w:tr>
      <w:tr>
        <w:trPr/>
        <w:tc>
          <w:tcPr>
            <w:tcW w:w="168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w:t>
            </w:r>
          </w:p>
        </w:tc>
        <w:tc>
          <w:tcPr>
            <w:tcW w:w="61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Owned/Leased</w:t>
            </w:r>
          </w:p>
        </w:tc>
        <w:tc>
          <w:tcPr>
            <w:tcW w:w="52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Products</w:t>
            </w:r>
          </w:p>
        </w:tc>
        <w:tc>
          <w:tcPr>
            <w:tcW w:w="67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MC</w:t>
            </w:r>
            <w:r>
              <w:rPr>
                <w:rFonts w:ascii="Times New Roman;serif" w:hAnsi="Times New Roman;serif"/>
                <w:b/>
                <w:color w:val="000000"/>
                <w:sz w:val="13"/>
              </w:rPr>
              <w:t>(1)</w:t>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INF</w:t>
            </w:r>
            <w:r>
              <w:rPr>
                <w:rFonts w:ascii="Times New Roman;serif" w:hAnsi="Times New Roman;serif"/>
                <w:b/>
                <w:color w:val="000000"/>
                <w:sz w:val="13"/>
              </w:rPr>
              <w:t>(2)</w:t>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States:</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Gurley, Alabama</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Metallurgical Powders</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Huntsville, Alabama</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Metallurgical Powders</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Rogers, Arkansas</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Carbide Products, Pelletizing Die Plates and Downhole Drilling Carbide Components</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Albany, Indiana</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 Wear Coating for Steel Parts</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Traverse City, Michigan</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Wear Parts</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Fallon, Nevada</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Metallurgical Powders</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Asheboro, North Carolina</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Carbide Round Tools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Henderson, North Carolina</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Metallurgical Powders</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Roanoke Rapids, North Carolina</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Cleveland, Ohio</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Orwell, Ohio</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Solon, Ohio</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Toolholders</w:t>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Whitehouse, Ohio</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 and Round Tools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Bedford, Pennsylvania</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and Construction Tools, Wear Parts and Distribution</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0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Vergne, Tennessee</w:t>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w:t>
            </w:r>
          </w:p>
        </w:tc>
        <w:tc>
          <w:tcPr>
            <w:tcW w:w="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Virginia</w:t>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Toolholders</w:t>
            </w:r>
          </w:p>
        </w:tc>
        <w:tc>
          <w:tcPr>
            <w:tcW w:w="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5"/>
        <w:gridCol w:w="552"/>
        <w:gridCol w:w="548"/>
        <w:gridCol w:w="208"/>
        <w:gridCol w:w="208"/>
        <w:gridCol w:w="215"/>
        <w:gridCol w:w="402"/>
        <w:gridCol w:w="402"/>
        <w:gridCol w:w="404"/>
        <w:gridCol w:w="1753"/>
        <w:gridCol w:w="1680"/>
        <w:gridCol w:w="1687"/>
        <w:gridCol w:w="241"/>
        <w:gridCol w:w="229"/>
        <w:gridCol w:w="229"/>
        <w:gridCol w:w="241"/>
        <w:gridCol w:w="229"/>
        <w:gridCol w:w="332"/>
      </w:tblGrid>
      <w:tr>
        <w:trPr/>
        <w:tc>
          <w:tcPr>
            <w:tcW w:w="64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Primary Segment</w:t>
            </w:r>
          </w:p>
        </w:tc>
      </w:tr>
      <w:tr>
        <w:trPr/>
        <w:tc>
          <w:tcPr>
            <w:tcW w:w="17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w:t>
            </w:r>
          </w:p>
        </w:tc>
        <w:tc>
          <w:tcPr>
            <w:tcW w:w="63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Owned/Leased</w:t>
            </w:r>
          </w:p>
        </w:tc>
        <w:tc>
          <w:tcPr>
            <w:tcW w:w="51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Products</w:t>
            </w:r>
          </w:p>
        </w:tc>
        <w:tc>
          <w:tcPr>
            <w:tcW w:w="6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MC</w:t>
            </w:r>
            <w:r>
              <w:rPr>
                <w:rFonts w:ascii="Times New Roman;serif" w:hAnsi="Times New Roman;serif"/>
                <w:b/>
                <w:color w:val="000000"/>
                <w:sz w:val="13"/>
              </w:rPr>
              <w:t>(1)</w:t>
            </w:r>
          </w:p>
        </w:tc>
        <w:tc>
          <w:tcPr>
            <w:tcW w:w="8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INF</w:t>
            </w:r>
            <w:r>
              <w:rPr>
                <w:rFonts w:ascii="Times New Roman;serif" w:hAnsi="Times New Roman;serif"/>
                <w:b/>
                <w:color w:val="000000"/>
                <w:sz w:val="13"/>
              </w:rPr>
              <w:t>(2)</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 Paz, Bolivia</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Tungsten Concentrate</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Indaiatuba, Brazil</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Carbide Drills and Toolholders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Belleville, Canada</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Casting Components, Coatings and Powder Metallurgy Components</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Victoria, Canada</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Wear Parts</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Fengpu, China</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Intermetallic Composite Ceramic Powders and Parts</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China</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Powders, Welding Rods and Wires and Cast Components</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China</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Tianjin, China</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 Carbide Round Tools and Metallurgical Powders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Xuzhou, China</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Tools</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Ebermannstadt, Germany</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Essen, Germany</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Königsee, Germany</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Carbide Drills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Mistelgau, Germany</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Wear Parts and Metallurgical Powders</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Nabburg, Germany</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Toolholders and Metal Cutting Round Tools, Drills and Mills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Schongau, Germany</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Ceramic Vaporizer Boats</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Vohenstrauss, Germany</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Carbide Drills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Bangalore, India</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Inserts, Toolholders and Wear Parts</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Shlomi, Israel</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High-Speed Steel and Carbide Round Tools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Zory, Poland</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Carbide Drills</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Boksburg, South Africa</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Mining and Construction Conicals</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Barcelona, Spain</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 Tools</w:t>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5120"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tcPr>
          <w:p>
            <w:pPr>
              <w:pStyle w:val="TableContents"/>
              <w:bidi w:val="0"/>
              <w:spacing w:before="0" w:after="283"/>
              <w:jc w:val="left"/>
              <w:rPr>
                <w:sz w:val="4"/>
                <w:szCs w:val="4"/>
              </w:rPr>
            </w:pPr>
            <w:r>
              <w:rPr>
                <w:sz w:val="4"/>
                <w:szCs w:val="4"/>
              </w:rPr>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Kingswinford, United Kingdom</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Newport, United Kingdom</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w:t>
            </w:r>
          </w:p>
        </w:tc>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Intermetallic Composite Powders</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Hanoi, Vietnam</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Owned/Leased</w:t>
            </w:r>
          </w:p>
        </w:tc>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Carbide and PCD Round Tools</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Metal Cutting segment</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Infrastructure segment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a network of customer service centers located throughout North America, Europe, India, Asia Pacific and Latin America, a significant portion of which are leased. The majority of our research and development efforts are conducted at our technology center located in Latrobe, Pennsylvania, U.S., as well as at our facilities in Rogers, Arkansas, U.S.; Fürth, Germany and Bangalore, India.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all of our significant properties in the businesses of powder metallurgy, tools, tooling systems, engineered components and advanced materials. Our production capacity is adequate for our present needs. We believe that our properties have been adequately maintained, are generally in good condition and are suitable for our business as presently conducted.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Part I, Item 1, of this Annual Report under the caption “Regulation” is incorporated by reference into this Item 3. From time to time, we are party to legal claims and proceedings that arise in the ordinary course of business, which may relate to our operations or assets, including real, tangible or intellectual property assets. Although we currently believe that the amount of ultimate liability, if any, we may face with respect to these actions will not materially affect our financial position, results of operations or liquidity, the ultimate outcome of any litigation is uncertain. Were an unfavorable outcome to occur or if protracted litigation were to ensue, the effect on us could be material. See Note 20 of our consolidated financial statements set forth in Item 8 of this Annual Report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EXECUTIVE OFFICERS OF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Incorporated by reference into this Part I is the information set forth in Part III, Item 10 of this Annual Report under the caption “Information About Our Executive Officers.”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 MARKET FOR THE REGISTRANT’S COMMON EQUITY, RELATED STOCKHOLDER MATTERS AND ISSUER PURCHASES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capital stock is traded on the New York Stock Exchange under the symbol "KMT." The number of shareholders of record as of July 31, 2026 was 1,137.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incorporated by reference into Part III, Item 12 of this Annual Report from our 2026 Proxy Statement under the heading “Equity Compensation Plans – Equity Compensation Plan Information” is hereby incorporated by reference into this Item 5.</w:t>
      </w:r>
    </w:p>
    <w:p>
      <w:pPr>
        <w:pStyle w:val="TextBody"/>
        <w:bidi w:val="0"/>
        <w:spacing w:before="120" w:after="283"/>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cumulative total shareholder return on our capital stock with the cumulative total shareholder return on the common stock of the companies in the peer group of companies determined by us (New Peer Group and Old Peer Group), the Standard &amp; Poor's Composite 1500 Index (S&amp;P Composite 1500), the Standard &amp; Poor’s Mid-Cap 400 Market Index (S&amp;P Midcap 400), the Standard &amp; Poor’s 400 Capital Goods (S&amp;P 400 Capital Goods) and the Standard &amp; Poor's Global 1200 Industrials Index (S&amp;P Global 1200 Industrials) for the period from July 1, 2021 to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fiscal 2026, we established a New Peer Group in order to align with how we evaluate our executive compensation, and we believe this group is representative of Kennametal's peers. We have included both this New Peer Group as well as the Old Peer Group in the comparisons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New Peer Group consists of the following companies: Alamo Group, Inc.; Astec Industries, Inc.; Columbus McKinnon Corporation; Crane Co.; EnPro Industries, Inc.; ESAB Corporation; ESCO Technologies Inc.; Franklin Electric; Graco Inc.; ITT Inc.; Kadant Inc.; Mueller Water Products, Inc.; Nordson Corporation; Simpson Manufacturing Co., Inc.; SPX Corporation; The Manitowoc Company Inc.; Watts Water Technologies, Inc.; and Zurn Water Solutions Corporation.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Old Peer Group consists of the following companies: Alamo Group, Inc.; Astec Industries, Inc.; Barnes Group Inc.; Carpenter Technologies; Columbus McKinnon Corporation; Crane Co.; Curtiss-Wright Corporation; EnPro Industries, Inc.; ESAB Corporation; Franklin Electric; Graco Inc.; ITT Inc.; Mueller Water Products, Inc.; Nordson Corporation; Simpson Manufacturing Co., Inc.; SPX Corporation; The Manitowoc Company Inc.; Watts Water Technologies, Inc.; Woodward, Inc.; and Zurn Water Solutions Corporation.</w:t>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120" w:after="283"/>
        <w:jc w:val="center"/>
        <w:rPr/>
      </w:pPr>
      <w:r>
        <w:rPr/>
        <w:drawing>
          <wp:inline distT="0" distB="0" distL="0" distR="0">
            <wp:extent cx="6515100" cy="333375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6515100" cy="3333750"/>
                    </a:xfrm>
                    <a:prstGeom prst="rect">
                      <a:avLst/>
                    </a:prstGeom>
                  </pic:spPr>
                </pic:pic>
              </a:graphicData>
            </a:graphic>
          </wp:inline>
        </w:drawing>
      </w:r>
      <w:bookmarkStart w:id="0" w:name="i-1"/>
      <w:bookmarkEnd w:id="0"/>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Assumes $100 Invested on July 1, 2021 and All Dividends Reinvested</w:t>
      </w:r>
    </w:p>
    <w:tbl>
      <w:tblPr>
        <w:tblW w:w="8316" w:type="dxa"/>
        <w:jc w:val="center"/>
        <w:tblInd w:w="0" w:type="dxa"/>
        <w:tblLayout w:type="fixed"/>
        <w:tblCellMar>
          <w:top w:w="28" w:type="dxa"/>
          <w:left w:w="28" w:type="dxa"/>
          <w:bottom w:w="28" w:type="dxa"/>
          <w:right w:w="28" w:type="dxa"/>
        </w:tblCellMar>
      </w:tblPr>
      <w:tblGrid>
        <w:gridCol w:w="886"/>
        <w:gridCol w:w="778"/>
        <w:gridCol w:w="781"/>
        <w:gridCol w:w="211"/>
        <w:gridCol w:w="721"/>
        <w:gridCol w:w="109"/>
        <w:gridCol w:w="211"/>
        <w:gridCol w:w="616"/>
        <w:gridCol w:w="109"/>
        <w:gridCol w:w="211"/>
        <w:gridCol w:w="616"/>
        <w:gridCol w:w="109"/>
        <w:gridCol w:w="211"/>
        <w:gridCol w:w="616"/>
        <w:gridCol w:w="109"/>
        <w:gridCol w:w="211"/>
        <w:gridCol w:w="616"/>
        <w:gridCol w:w="109"/>
        <w:gridCol w:w="211"/>
        <w:gridCol w:w="721"/>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4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Kennametal</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Peer Group Index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Old Peer Group Index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Composite 1500 Index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Midcap 400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400 Capital Goods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Global 1200 Industrials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bl>
      <w:tblPr>
        <w:tblW w:w="10205" w:type="dxa"/>
        <w:jc w:val="center"/>
        <w:tblInd w:w="0" w:type="dxa"/>
        <w:tblLayout w:type="fixed"/>
        <w:tblCellMar>
          <w:top w:w="28" w:type="dxa"/>
          <w:left w:w="28" w:type="dxa"/>
          <w:bottom w:w="28" w:type="dxa"/>
          <w:right w:w="28" w:type="dxa"/>
        </w:tblCellMar>
      </w:tblPr>
      <w:tblGrid>
        <w:gridCol w:w="446"/>
        <w:gridCol w:w="390"/>
        <w:gridCol w:w="398"/>
        <w:gridCol w:w="462"/>
        <w:gridCol w:w="462"/>
        <w:gridCol w:w="463"/>
        <w:gridCol w:w="109"/>
        <w:gridCol w:w="109"/>
        <w:gridCol w:w="109"/>
        <w:gridCol w:w="284"/>
        <w:gridCol w:w="829"/>
        <w:gridCol w:w="148"/>
        <w:gridCol w:w="109"/>
        <w:gridCol w:w="109"/>
        <w:gridCol w:w="109"/>
        <w:gridCol w:w="792"/>
        <w:gridCol w:w="792"/>
        <w:gridCol w:w="794"/>
        <w:gridCol w:w="109"/>
        <w:gridCol w:w="109"/>
        <w:gridCol w:w="109"/>
        <w:gridCol w:w="402"/>
        <w:gridCol w:w="2263"/>
        <w:gridCol w:w="299"/>
      </w:tblGrid>
      <w:tr>
        <w:trPr/>
        <w:tc>
          <w:tcPr>
            <w:tcW w:w="44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w:t>
            </w:r>
          </w:p>
        </w:tc>
        <w:tc>
          <w:tcPr>
            <w:tcW w:w="138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Total Number</w:t>
            </w:r>
          </w:p>
          <w:p>
            <w:pPr>
              <w:pStyle w:val="TableContents"/>
              <w:bidi w:val="0"/>
              <w:spacing w:lineRule="auto" w:line="240" w:before="0" w:after="0"/>
              <w:jc w:val="right"/>
              <w:rPr/>
            </w:pPr>
            <w:r>
              <w:rPr>
                <w:rFonts w:ascii="Times New Roman;serif" w:hAnsi="Times New Roman;serif"/>
                <w:b w:val="false"/>
                <w:color w:val="000000"/>
                <w:sz w:val="20"/>
              </w:rPr>
              <w:t>of Shares Purchased</w:t>
            </w:r>
            <w:r>
              <w:rPr>
                <w:rFonts w:ascii="Times New Roman;serif" w:hAnsi="Times New Roman;serif"/>
                <w:b w:val="false"/>
                <w:color w:val="000000"/>
                <w:sz w:val="13"/>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Number of </w:t>
              <w:br/>
              <w:t>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 xml:space="preserve">Approximate Dollar Value of Shares that May Yet Be Purchased Under the Plans or Programs </w:t>
            </w:r>
            <w:r>
              <w:rPr>
                <w:rFonts w:ascii="Times New Roman;serif" w:hAnsi="Times New Roman;serif"/>
                <w:b w:val="false"/>
                <w:color w:val="000000"/>
                <w:sz w:val="13"/>
              </w:rPr>
              <w:t>(2)</w:t>
            </w:r>
          </w:p>
        </w:tc>
      </w:tr>
      <w:tr>
        <w:trPr/>
        <w:tc>
          <w:tcPr>
            <w:tcW w:w="12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through April 30, 2026</w:t>
            </w:r>
          </w:p>
        </w:tc>
        <w:tc>
          <w:tcPr>
            <w:tcW w:w="9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130,000,000 </w:t>
            </w:r>
          </w:p>
        </w:tc>
        <w:tc>
          <w:tcPr>
            <w:tcW w:w="29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through May 31, 2026</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through June 30, 2026</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2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4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During the current period, 1,034 shares were purchased on the open market on behalf of Kennametal to fund the Company’s dividend reinvestment program. Also, during the current period, employees delivered 1,408 shares of restricted stock to Kennametal, upon vesting, to satisfy tax withholding requirements. </w:t>
      </w:r>
    </w:p>
    <w:p>
      <w:pPr>
        <w:pStyle w:val="TextBody"/>
        <w:bidi w:val="0"/>
        <w:spacing w:lineRule="auto" w:line="288" w:before="120" w:after="283"/>
        <w:ind w:left="0" w:right="0" w:hanging="720"/>
        <w:jc w:val="left"/>
        <w:rPr/>
      </w:pPr>
      <w:r>
        <w:rPr>
          <w:rFonts w:ascii="Arial;sans-serif" w:hAnsi="Arial;sans-serif"/>
          <w:b w:val="false"/>
          <w:color w:val="000000"/>
          <w:sz w:val="13"/>
        </w:rPr>
        <w:t>(2)</w:t>
      </w:r>
      <w:r>
        <w:rPr>
          <w:rFonts w:ascii="Times New Roman;serif" w:hAnsi="Times New Roman;serif"/>
          <w:b w:val="false"/>
          <w:color w:val="000000"/>
          <w:sz w:val="20"/>
        </w:rPr>
        <w:t>In February 2024, the Board of Directors of the Company authorized a $200 million, three-year share repurchase program outside of the Company's dividend reinvestment program.</w:t>
      </w:r>
    </w:p>
    <w:p>
      <w:pPr>
        <w:pStyle w:val="TextBody"/>
        <w:bidi w:val="0"/>
        <w:spacing w:before="120" w:after="283"/>
        <w:ind w:left="0" w:right="0" w:hanging="36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7 - MANAGEMENT'S DISCUSSION AND ANALYSIS OF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connection with the consolidated financial statements of Kennametal Inc. and the related financial statement notes included in Item 8 of this Annual Report. Unless otherwise specified, any reference to a “year” is to our fiscal year ended June 30. Additionally, when used in this Annual Report, unless the context requires otherwise, the terms “we,” “our” and “us” refer to Kennametal Inc. and its subsidiaries.</w:t>
      </w:r>
    </w:p>
    <w:p>
      <w:pPr>
        <w:pStyle w:val="TextBody"/>
        <w:bidi w:val="0"/>
        <w:spacing w:lineRule="auto" w:line="288" w:before="120" w:after="283"/>
        <w:jc w:val="left"/>
        <w:rPr/>
      </w:pPr>
      <w:r>
        <w:rPr>
          <w:rFonts w:ascii="Times New Roman;serif" w:hAnsi="Times New Roman;serif"/>
          <w:b/>
          <w:color w:val="000000"/>
          <w:sz w:val="20"/>
        </w:rPr>
        <w:t xml:space="preserve">OVERVIEW </w:t>
      </w:r>
      <w:r>
        <w:rPr>
          <w:rFonts w:ascii="Times New Roman;serif" w:hAnsi="Times New Roman;serif"/>
          <w:b w:val="false"/>
          <w:color w:val="000000"/>
          <w:sz w:val="20"/>
        </w:rPr>
        <w:t xml:space="preserve">Kennametal Inc. was founded based on a tungsten carbide technology breakthrough in 1938. The Company was incorporated in Pennsylvania in 1943 as a manufacturer of tungsten carbide metal cutting tooling and was listed on the New York Stock Exchange (NYSE) in 1967. With more than 85 years of materials expertise, the Company is a global industrial technology leader, helping customers across the General Engineering, Transportation, Earthworks, Energy and Aerospace &amp; Defense end markets manufacture with precision and efficiency. This expertise includes the development and application of tungsten carbides, ceramics, super-hard materials and solutions used in metal cutting and extreme wear applications to keep customers up and running longer against conditions such as corrosion and high temperatures.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standard and custom product offering spans metal cutting and wear applications including turning, milling, hole making, tooling systems and services, as well as specialized wear components and metallurgical powders. End users of the Company's metal cutting products include manufacturers engaged in a diverse array of industries including: the manufacturers of transportation vehicles and components, machine tools and light and heavy machinery; airframe and aerospace components; and energy-related components for the oil and gas industry, as well as power generation. The Company’s wear and metallurgical powders are used by producers and suppliers in equipment-intensive operations such as road construction, mining, quarrying, oil and gas exploration, refining, production and supply, and for aerospace and defense.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Throughout Management's Discussion and Analysis of Financial Condition and Results of Operations (the MD&amp;A), we refer to measures used by management to evaluate performance. We also refer to a number of financial measures that are not defined under accounting principles generally accepted in the United States of America (U.S. GAAP), including organic sales growth, constant currency regional sales growth and constant currency end market sales growth. The explanation at the end of the MD&amp;A provides the definition of these non-GAAP financial measures as well as details on their use and a reconciliation to the most directly comparable 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Sales of $2,356.7 million in 2026 increased 20 percent from $1,966.8 million in 2025, reflecting organic sales growth of 19 percent and a favorable foreign currency exchange effect of 2 percent, partially offset by a divestiture effect of 1 percent.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was $472.5 million, or 20.1 percent margin, in 2026 compared with $143.1 million, or 7.3 percent margin, in the prior year. The increase in operating income was driven by the favorable timing of raw material-related pricing compared to costs of approximately $316 million, non-raw material-related pricing and tariff surcharges in Metal Cutting, higher sales and production volumes and incremental year-over-year restructuring savings of approximately $27 million. These factors were partially offset by higher compensation costs, tariffs and general inflation, and fewer insurance proceeds received within Infrastructure during 2026. In 2026, the Metal Cutting and Infrastructure segments had operating margins of 14.0 percent and 29.2 percent,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the U.S. Supreme Court issued a ruling invalidating certain tariffs previously imposed under the International Emergency Economic Powers Act (IEEPA). As a result of this ruling, companies may be eligible for a refund of tariffs previously paid on imported goods. We are pursuing potential recovery opportunities arising from this ruling. Any related benefit recognized through June 30, 2026 was immaterial. The Company has not recorded any liabilities associated with potential tariff recoveries, as any refunds received are expected to be reinvested in the business and no obligation to reimburse customers existed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Additionally, our business has been affected by foreign currency exchange, inflationary headwinds and rising tungsten prices. These pressures, driven by tightening global supply, geopolitical factors and evolving trade policies have increased raw material costs and caused other business disruptions. We have been able to mitigate these impacts through price increases on our products, supplier diversification and inventory management initiatives. However, we cannot predict the ultimate effect of these issues on our business, operating results, cash flows or financial condition. Continued volatility in commodity pricing, foreign exchange rates and supply availability could adversely affect our margins, operations and liquidity and may increase the risk of future impairment charges, including goodwill and other intangible assets. In addition, significant declines in raw material costs could reduce the net realizable value of our inventory, potentially requiring write-downs. We are continuing to monitor macroeconomic conditions and will take actions to mitigate these effects to the extent possible.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February 2024, the Board of Directors of the Company authorized a $200 million, three-year share repurchase program outside of the Company's dividend reinvestment program. During 2026, the Company repurchased 475 thousand shares of common stock for $10 million. Subsequent to these repurchases, the Company paused activity under the share repurchase program. The Company expects to reassess repurchase activity as cash flow generation improves.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reported earnings per diluted share (EPS) of $4.42 for 2026 compared to $1.20 in the prior year.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net cash flow used for operating activities was $4.0 million compared to net cash flow provided by operating activities of $208.3 million during the prior year. Capital expenditures were $76.9 million and $89.0 million during 2026 and 2025, respectively. During 2026, the Company returned a total of $71 million to the shareholders through $10 million in share repurchases under the $200 million, three-year program and $61 million in dividends.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discussion related to the results of operations, changes in financial condition and liquidity and capital resources for fiscal 2025 refer to Part II, Item 7. Management's Discussion and Analysis of Financial Condition and Results of Operations in our fiscal 2025 Annual Report on Form 10-K, which was filed with the United States Securities and Exchange Commission on August 12,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CONTINUING OPERATIONS</w:t>
      </w:r>
    </w:p>
    <w:p>
      <w:pPr>
        <w:pStyle w:val="TextBody"/>
        <w:bidi w:val="0"/>
        <w:spacing w:lineRule="auto" w:line="288" w:before="120" w:after="283"/>
        <w:jc w:val="left"/>
        <w:rPr/>
      </w:pPr>
      <w:r>
        <w:rPr>
          <w:rFonts w:ascii="Times New Roman;serif" w:hAnsi="Times New Roman;serif"/>
          <w:b/>
          <w:color w:val="000000"/>
          <w:sz w:val="20"/>
        </w:rPr>
        <w:t>SALES</w:t>
      </w:r>
      <w:r>
        <w:rPr>
          <w:color w:val="000000"/>
        </w:rPr>
        <w:t xml:space="preserve"> </w:t>
      </w:r>
      <w:r>
        <w:rPr>
          <w:rFonts w:ascii="Times New Roman;serif" w:hAnsi="Times New Roman;serif"/>
          <w:b w:val="false"/>
          <w:color w:val="000000"/>
          <w:sz w:val="20"/>
        </w:rPr>
        <w:t>Sales of $2,356.7 million in 2026 increased 20 percent from $1,966.8 million in 2025, reflecting organic sales growth of 19 percent and a favorable foreign currency exchange effect of 2 percent, partially offset by a divestiture effect of 1 percent.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sales growth by end market and region are as follows:</w:t>
      </w:r>
    </w:p>
    <w:tbl>
      <w:tblPr>
        <w:tblW w:w="6642" w:type="dxa"/>
        <w:jc w:val="center"/>
        <w:tblInd w:w="0" w:type="dxa"/>
        <w:tblLayout w:type="fixed"/>
        <w:tblCellMar>
          <w:top w:w="28" w:type="dxa"/>
          <w:left w:w="28" w:type="dxa"/>
          <w:bottom w:w="28" w:type="dxa"/>
          <w:right w:w="28" w:type="dxa"/>
        </w:tblCellMar>
      </w:tblPr>
      <w:tblGrid>
        <w:gridCol w:w="1334"/>
        <w:gridCol w:w="1175"/>
        <w:gridCol w:w="1180"/>
        <w:gridCol w:w="369"/>
        <w:gridCol w:w="369"/>
        <w:gridCol w:w="371"/>
        <w:gridCol w:w="540"/>
        <w:gridCol w:w="540"/>
        <w:gridCol w:w="764"/>
      </w:tblGrid>
      <w:tr>
        <w:trPr/>
        <w:tc>
          <w:tcPr>
            <w:tcW w:w="133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percentages)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Constant Currency</w:t>
            </w:r>
            <w:r>
              <w:rPr>
                <w:rFonts w:ascii="Times New Roman;serif" w:hAnsi="Times New Roman;serif"/>
                <w:b w:val="false"/>
                <w:color w:val="000000"/>
                <w:sz w:val="13"/>
              </w:rPr>
              <w:t>(1)</w:t>
            </w:r>
          </w:p>
        </w:tc>
      </w:tr>
      <w:tr>
        <w:trPr/>
        <w:tc>
          <w:tcPr>
            <w:tcW w:w="3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market sales growth:</w:t>
            </w:r>
          </w:p>
        </w:tc>
        <w:tc>
          <w:tcPr>
            <w:tcW w:w="11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Engineering</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Earthworks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sales growth:</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 (EMEA)</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36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8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Constant currency excludes the effect of divestiture and currency exchange.</w:t>
      </w:r>
    </w:p>
    <w:p>
      <w:pPr>
        <w:pStyle w:val="TextBody"/>
        <w:bidi w:val="0"/>
        <w:spacing w:lineRule="auto" w:line="288" w:before="120" w:after="283"/>
        <w:jc w:val="left"/>
        <w:rPr/>
      </w:pPr>
      <w:r>
        <w:rPr>
          <w:rFonts w:ascii="Times New Roman;serif" w:hAnsi="Times New Roman;serif"/>
          <w:b/>
          <w:color w:val="000000"/>
          <w:sz w:val="20"/>
        </w:rPr>
        <w:t>GROSS PROFIT</w:t>
      </w:r>
      <w:r>
        <w:rPr>
          <w:color w:val="000000"/>
        </w:rPr>
        <w:t xml:space="preserve"> </w:t>
      </w:r>
      <w:r>
        <w:rPr>
          <w:rFonts w:ascii="Times New Roman;serif" w:hAnsi="Times New Roman;serif"/>
          <w:b w:val="false"/>
          <w:color w:val="000000"/>
          <w:sz w:val="20"/>
        </w:rPr>
        <w:t>Gross profit increased $371.9 million to $970.0 million in 2026 from $598.1 million in 2025. The increase in gross profit was driven by the favorable timing of raw material-related pricing compared to costs of approximately $316 million, non-raw material-related pricing and tariff surcharges in Metal Cutting, higher sales and production volumes and incremental year-over-year restructuring savings. These factors were partially offset by higher compensation costs, tariffs and general inflation, and fewer insurance proceeds received within Infrastructure during 2026. The gross profit margin for 2026 was 41.2 percent compared to 30.4 percent in 2025.</w:t>
      </w:r>
    </w:p>
    <w:p>
      <w:pPr>
        <w:pStyle w:val="TextBody"/>
        <w:bidi w:val="0"/>
        <w:spacing w:lineRule="auto" w:line="288" w:before="120" w:after="283"/>
        <w:jc w:val="left"/>
        <w:rPr/>
      </w:pPr>
      <w:r>
        <w:rPr>
          <w:rFonts w:ascii="Times New Roman;serif" w:hAnsi="Times New Roman;serif"/>
          <w:b/>
          <w:color w:val="000000"/>
          <w:sz w:val="20"/>
        </w:rPr>
        <w:t>OPERATING EXPENSE</w:t>
      </w:r>
      <w:r>
        <w:rPr>
          <w:color w:val="000000"/>
        </w:rPr>
        <w:t xml:space="preserve"> </w:t>
      </w:r>
      <w:r>
        <w:rPr>
          <w:rFonts w:ascii="Times New Roman;serif" w:hAnsi="Times New Roman;serif"/>
          <w:b w:val="false"/>
          <w:color w:val="000000"/>
          <w:sz w:val="20"/>
        </w:rPr>
        <w:t>Operating expense in 2026 was $479.0 million, an increase of $48.2 million, or 11 percent, from $430.8 million in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invested further in technology and innovation to continue delivering high quality products to our customers. Research and development expenses included in operating expense totaled $43.2 million and $44.4 million for 2026 and 2025, respectively.</w:t>
      </w:r>
    </w:p>
    <w:p>
      <w:pPr>
        <w:pStyle w:val="TextBody"/>
        <w:bidi w:val="0"/>
        <w:spacing w:lineRule="auto" w:line="288" w:before="120" w:after="283"/>
        <w:jc w:val="left"/>
        <w:rPr/>
      </w:pPr>
      <w:r>
        <w:rPr>
          <w:rFonts w:ascii="Times New Roman;serif" w:hAnsi="Times New Roman;serif"/>
          <w:b/>
          <w:color w:val="000000"/>
          <w:sz w:val="20"/>
        </w:rPr>
        <w:t xml:space="preserve">RESTRUCTURING AND OTHER CHARGES, NET </w:t>
      </w:r>
      <w:r>
        <w:rPr>
          <w:rFonts w:ascii="Times New Roman;serif" w:hAnsi="Times New Roman;serif"/>
          <w:b w:val="false"/>
          <w:color w:val="000000"/>
          <w:sz w:val="20"/>
        </w:rPr>
        <w:t>In January 2025, we announced several actions to support the long-term competitiveness of the Company and to mitigate softer market conditions. Total restructuring and related charges for this program of $23.9 million were recorded through June 30, 2026, consisting of $19.4 million in Metal Cutting and $4.5 million in Infrastructure. The Company substantially completed the closure of a facility in Greenfield, MA and the consolidation of facilities in Barcelona, Spain during 2025 as a part of these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2026, we recorded restructuring and related charges of $11.4 million, which consisted of $9.7 million in Metal Cutting and $1.7 million in Infrastructure. Of this amount, restructuring-related charges of $2.4 million were included in cost of goods sold and $0.1 million were included in operating expense. These amounts are inclusive of a reversal of restructuring and related charges of $1.0 million related to prior actions.</w:t>
      </w:r>
    </w:p>
    <w:p>
      <w:pPr>
        <w:pStyle w:val="TextBody"/>
        <w:bidi w:val="0"/>
        <w:spacing w:lineRule="auto" w:line="288" w:before="120" w:after="283"/>
        <w:jc w:val="left"/>
        <w:rPr/>
      </w:pPr>
      <w:r>
        <w:rPr>
          <w:rFonts w:ascii="Times New Roman;serif" w:hAnsi="Times New Roman;serif"/>
          <w:b/>
          <w:color w:val="000000"/>
          <w:sz w:val="20"/>
        </w:rPr>
        <w:t>AMORTIZATION OF INTANGIBLES</w:t>
      </w:r>
      <w:r>
        <w:rPr>
          <w:color w:val="000000"/>
        </w:rPr>
        <w:t xml:space="preserve"> </w:t>
      </w:r>
      <w:r>
        <w:rPr>
          <w:rFonts w:ascii="Times New Roman;serif" w:hAnsi="Times New Roman;serif"/>
          <w:b w:val="false"/>
          <w:color w:val="000000"/>
          <w:sz w:val="20"/>
        </w:rPr>
        <w:t>Amortization expense was $9.5 million and $10.8 million in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 xml:space="preserve">INTEREST EXPENSE </w:t>
      </w:r>
      <w:r>
        <w:rPr>
          <w:rFonts w:ascii="Times New Roman;serif" w:hAnsi="Times New Roman;serif"/>
          <w:b w:val="false"/>
          <w:color w:val="000000"/>
          <w:sz w:val="20"/>
        </w:rPr>
        <w:t>Interest expense in 2026 was $28.6 million, an increase of $3.6 million, compared to $24.9 million in 2025. The increase includes a loss of $2.2 million from the early extinguishment of the 2028 Notes in May 2026. The portion of our debt subject to variable rates of interest was approximately 4 percent and less than 1 percent at June 30, 2026 and 2025. As of June 30, 2026, we had $20 million of borrowings outstanding under the Credit Agreement and no borrowings outstanding as of June 30, 2025.</w:t>
      </w:r>
    </w:p>
    <w:p>
      <w:pPr>
        <w:pStyle w:val="TextBody"/>
        <w:bidi w:val="0"/>
        <w:spacing w:lineRule="auto" w:line="288" w:before="120" w:after="283"/>
        <w:jc w:val="left"/>
        <w:rPr/>
      </w:pPr>
      <w:r>
        <w:rPr>
          <w:rFonts w:ascii="Times New Roman;serif" w:hAnsi="Times New Roman;serif"/>
          <w:b/>
          <w:color w:val="000000"/>
          <w:sz w:val="20"/>
        </w:rPr>
        <w:t>OTHER INCOME, NET</w:t>
      </w:r>
      <w:r>
        <w:rPr>
          <w:color w:val="000000"/>
        </w:rPr>
        <w:t xml:space="preserve"> </w:t>
      </w:r>
      <w:r>
        <w:rPr>
          <w:rFonts w:ascii="Times New Roman;serif" w:hAnsi="Times New Roman;serif"/>
          <w:b w:val="false"/>
          <w:color w:val="000000"/>
          <w:sz w:val="20"/>
        </w:rPr>
        <w:t>In 2026, other income, net was $17.4 million compared to $13.8 million in 2025. The increase of $3.5 million is primarily due to foreign currency transactions including preferential exchange rates in Bolivia, partially offset by higher net periodic pension expense.</w:t>
      </w:r>
    </w:p>
    <w:p>
      <w:pPr>
        <w:pStyle w:val="TextBody"/>
        <w:bidi w:val="0"/>
        <w:spacing w:lineRule="auto" w:line="288" w:before="120" w:after="283"/>
        <w:jc w:val="left"/>
        <w:rPr/>
      </w:pPr>
      <w:r>
        <w:rPr>
          <w:rFonts w:ascii="Times New Roman;serif" w:hAnsi="Times New Roman;serif"/>
          <w:b/>
          <w:color w:val="000000"/>
          <w:sz w:val="20"/>
        </w:rPr>
        <w:t>INCOME TAXES</w:t>
      </w:r>
      <w:r>
        <w:rPr>
          <w:color w:val="000000"/>
        </w:rPr>
        <w:t xml:space="preserve"> </w:t>
      </w:r>
      <w:r>
        <w:rPr>
          <w:rFonts w:ascii="Times New Roman;serif" w:hAnsi="Times New Roman;serif"/>
          <w:b w:val="false"/>
          <w:color w:val="000000"/>
          <w:sz w:val="20"/>
        </w:rPr>
        <w:t>The effective tax rate for 2026 was 24.0 percent compared to 25.2 percent for 2025. The year-over-year change in the effective tax rate is primarily due to favorable geographical mix partially offset by prior year adjustments that include a benefit for the advanced manufacturing production credit under the Inflation Reduction Act of 2022 and $1.4 million for interest received to resolve an income tax dispute in India.</w:t>
      </w:r>
    </w:p>
    <w:p>
      <w:pPr>
        <w:pStyle w:val="TextBody"/>
        <w:bidi w:val="0"/>
        <w:spacing w:lineRule="auto" w:line="288" w:before="120" w:after="283"/>
        <w:jc w:val="left"/>
        <w:rPr/>
      </w:pPr>
      <w:r>
        <w:rPr>
          <w:rFonts w:ascii="Times New Roman;serif" w:hAnsi="Times New Roman;serif"/>
          <w:b w:val="false"/>
          <w:i/>
          <w:color w:val="000000"/>
          <w:sz w:val="20"/>
        </w:rPr>
        <w:t xml:space="preserve">U.S. Income tax reform. </w:t>
      </w:r>
      <w:r>
        <w:rPr>
          <w:rFonts w:ascii="Times New Roman;serif" w:hAnsi="Times New Roman;serif"/>
          <w:b w:val="false"/>
          <w:color w:val="000000"/>
          <w:sz w:val="20"/>
        </w:rPr>
        <w:t>On July 4, 2025, the One Big Beautiful Bill Act (OBBBA), which includes a broad range of tax reform provisions, was signed into law in the United States. We do not expect the OBBBA to have a material impact on our consolidated financial statements.</w:t>
      </w:r>
    </w:p>
    <w:p>
      <w:pPr>
        <w:pStyle w:val="TextBody"/>
        <w:bidi w:val="0"/>
        <w:spacing w:lineRule="auto" w:line="288" w:before="120" w:after="283"/>
        <w:jc w:val="left"/>
        <w:rPr/>
      </w:pPr>
      <w:r>
        <w:rPr>
          <w:rFonts w:ascii="Times New Roman;serif" w:hAnsi="Times New Roman;serif"/>
          <w:b/>
          <w:color w:val="000000"/>
          <w:sz w:val="20"/>
        </w:rPr>
        <w:t xml:space="preserve">NET INCOME ATTRIBUTABLE TO KENNAMETAL </w:t>
      </w:r>
      <w:r>
        <w:rPr>
          <w:rFonts w:ascii="Times New Roman;serif" w:hAnsi="Times New Roman;serif"/>
          <w:b w:val="false"/>
          <w:color w:val="000000"/>
          <w:sz w:val="20"/>
        </w:rPr>
        <w:t>Net income attributable to Kennametal was $342.4 million, or $4.42 of earnings per diluted share (EPS) in 2026, compared to $93.1 million, or EPS of $1.20 in 2025. The increase is a result of the factors previously discussed.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BUSINESS SEGMENT REVIEW</w:t>
      </w:r>
      <w:r>
        <w:rPr>
          <w:color w:val="000000"/>
        </w:rPr>
        <w:t xml:space="preserve"> </w:t>
      </w:r>
      <w:r>
        <w:rPr>
          <w:rFonts w:ascii="Times New Roman;serif" w:hAnsi="Times New Roman;serif"/>
          <w:b w:val="false"/>
          <w:color w:val="000000"/>
          <w:sz w:val="20"/>
        </w:rPr>
        <w:t xml:space="preserve">We operate in two reportable operating segments consisting of Metal Cutting and Infrastructure. Corporate expenses that are not allocated are reported in Corporate. Segment determination is based upon internal organizational structure, the manner in which we organize segments for making operating decisions and assessing performance and the availability of separate financial results. See Note 21 of our consolidated financial statements set forth in Item 8 of this Annual Report.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sales and operating income by segment are as follows:</w:t>
      </w:r>
    </w:p>
    <w:tbl>
      <w:tblPr>
        <w:tblW w:w="5566" w:type="dxa"/>
        <w:jc w:val="center"/>
        <w:tblInd w:w="0" w:type="dxa"/>
        <w:tblLayout w:type="fixed"/>
        <w:tblCellMar>
          <w:top w:w="28" w:type="dxa"/>
          <w:left w:w="28" w:type="dxa"/>
          <w:bottom w:w="28" w:type="dxa"/>
          <w:right w:w="28" w:type="dxa"/>
        </w:tblCellMar>
      </w:tblPr>
      <w:tblGrid>
        <w:gridCol w:w="862"/>
        <w:gridCol w:w="759"/>
        <w:gridCol w:w="763"/>
        <w:gridCol w:w="211"/>
        <w:gridCol w:w="976"/>
        <w:gridCol w:w="109"/>
        <w:gridCol w:w="109"/>
        <w:gridCol w:w="109"/>
        <w:gridCol w:w="109"/>
        <w:gridCol w:w="211"/>
        <w:gridCol w:w="976"/>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1,966,845 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461,329 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METAL CUTTING</w:t>
      </w:r>
    </w:p>
    <w:tbl>
      <w:tblPr>
        <w:tblW w:w="5080" w:type="dxa"/>
        <w:jc w:val="left"/>
        <w:tblInd w:w="0" w:type="dxa"/>
        <w:tblLayout w:type="fixed"/>
        <w:tblCellMar>
          <w:top w:w="28" w:type="dxa"/>
          <w:left w:w="28" w:type="dxa"/>
          <w:bottom w:w="28" w:type="dxa"/>
          <w:right w:w="28" w:type="dxa"/>
        </w:tblCellMar>
      </w:tblPr>
      <w:tblGrid>
        <w:gridCol w:w="569"/>
        <w:gridCol w:w="501"/>
        <w:gridCol w:w="504"/>
        <w:gridCol w:w="211"/>
        <w:gridCol w:w="976"/>
        <w:gridCol w:w="271"/>
        <w:gridCol w:w="109"/>
        <w:gridCol w:w="109"/>
        <w:gridCol w:w="109"/>
        <w:gridCol w:w="211"/>
        <w:gridCol w:w="976"/>
        <w:gridCol w:w="271"/>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1,397,418 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1,219,686 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18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3729" w:type="dxa"/>
        <w:jc w:val="center"/>
        <w:tblInd w:w="0" w:type="dxa"/>
        <w:tblLayout w:type="fixed"/>
        <w:tblCellMar>
          <w:top w:w="28" w:type="dxa"/>
          <w:left w:w="28" w:type="dxa"/>
          <w:bottom w:w="28" w:type="dxa"/>
          <w:right w:w="28" w:type="dxa"/>
        </w:tblCellMar>
      </w:tblPr>
      <w:tblGrid>
        <w:gridCol w:w="1079"/>
        <w:gridCol w:w="951"/>
        <w:gridCol w:w="954"/>
        <w:gridCol w:w="202"/>
        <w:gridCol w:w="204"/>
        <w:gridCol w:w="33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percentages)</w:t>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9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 growth</w:t>
            </w:r>
          </w:p>
        </w:tc>
        <w:tc>
          <w:tcPr>
            <w:tcW w:w="4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days effect</w:t>
            </w:r>
            <w:r>
              <w:rPr>
                <w:rFonts w:ascii="Times New Roman;serif" w:hAnsi="Times New Roman;serif"/>
                <w:b w:val="false"/>
                <w:color w:val="000000"/>
                <w:sz w:val="13"/>
              </w:rPr>
              <w:t>(11)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growth</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5440" w:type="dxa"/>
        <w:jc w:val="center"/>
        <w:tblInd w:w="0" w:type="dxa"/>
        <w:tblLayout w:type="fixed"/>
        <w:tblCellMar>
          <w:top w:w="28" w:type="dxa"/>
          <w:left w:w="28" w:type="dxa"/>
          <w:bottom w:w="28" w:type="dxa"/>
          <w:right w:w="28" w:type="dxa"/>
        </w:tblCellMar>
      </w:tblPr>
      <w:tblGrid>
        <w:gridCol w:w="781"/>
        <w:gridCol w:w="688"/>
        <w:gridCol w:w="691"/>
        <w:gridCol w:w="369"/>
        <w:gridCol w:w="369"/>
        <w:gridCol w:w="371"/>
        <w:gridCol w:w="109"/>
        <w:gridCol w:w="109"/>
        <w:gridCol w:w="109"/>
        <w:gridCol w:w="540"/>
        <w:gridCol w:w="540"/>
        <w:gridCol w:w="76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percentages)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Constant Currency</w:t>
            </w:r>
            <w:r>
              <w:rPr>
                <w:rFonts w:ascii="Times New Roman;serif" w:hAnsi="Times New Roman;serif"/>
                <w:b w:val="false"/>
                <w:color w:val="000000"/>
                <w:sz w:val="13"/>
              </w:rPr>
              <w:t>(1)</w:t>
            </w:r>
          </w:p>
        </w:tc>
      </w:tr>
      <w:tr>
        <w:trPr/>
        <w:tc>
          <w:tcPr>
            <w:tcW w:w="2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market sales growth:</w:t>
            </w:r>
          </w:p>
        </w:tc>
        <w:tc>
          <w:tcPr>
            <w:tcW w:w="11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Engineering</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sales growth:</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16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0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Constant currency excludes the effect of divestiture and currency exchange.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Metal Cutting sales of $1,397.4 million increased by $177.7 million, or 15 percent, from 2025. This was driven by organic sales growth of 12 percent and a favorable foreign exchange effect of 3 percent.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Sales in the General Engineering end market increased primarily due to pricing and demand within the indirect channel. Aerospace &amp; Defense end market sales increased as a result of improved build rates in the Americas, easing supply chain pressures in EMEA and our global strategic focus. Energy end market sales increased primarily due to our strategic focus and pricing. Transportation end market sales increased primarily in the Americas and EMEA due to pricing.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 regional basis, sales in the Americas increased primarily due to pricing and indirect channel demand within General Engineering, improving build rates in Aerospace &amp; Defense and data center power generation initiatives in Energy. Sales growth in EMEA was driven primarily by our global strategic focus on Aerospace &amp; Defense. The sales increase in Asia Pacific was driven primarily by pricing and demand within the indirect channel in General Engineering and our global strategic focus in Aerospace &amp; Defense.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Metal Cutting operating income was $195.6 million, a $109.2 million increase from 2025. The increase in operating income was driven by non-raw material-related pricing and tariff surcharges, the favorable timing of raw material-related pricing compared to costs of approximately $54 million, higher sales and production volumes and incremental year-over-year restructuring savings of approximately $21 million. These factors were partially offset by higher compensation costs, and tariffs and general inflation. Metal Cutting operating margin in 2026 was 14.0 percent compared to 7.1 percent in the prior year.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INFRASTRUCTURE</w:t>
      </w:r>
    </w:p>
    <w:tbl>
      <w:tblPr>
        <w:tblW w:w="4780" w:type="dxa"/>
        <w:jc w:val="left"/>
        <w:tblInd w:w="0" w:type="dxa"/>
        <w:tblLayout w:type="fixed"/>
        <w:tblCellMar>
          <w:top w:w="28" w:type="dxa"/>
          <w:left w:w="28" w:type="dxa"/>
          <w:bottom w:w="28" w:type="dxa"/>
          <w:right w:w="28" w:type="dxa"/>
        </w:tblCellMar>
      </w:tblPr>
      <w:tblGrid>
        <w:gridCol w:w="569"/>
        <w:gridCol w:w="501"/>
        <w:gridCol w:w="504"/>
        <w:gridCol w:w="211"/>
        <w:gridCol w:w="826"/>
        <w:gridCol w:w="271"/>
        <w:gridCol w:w="109"/>
        <w:gridCol w:w="109"/>
        <w:gridCol w:w="109"/>
        <w:gridCol w:w="211"/>
        <w:gridCol w:w="826"/>
        <w:gridCol w:w="271"/>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959,280 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747,159 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3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729" w:type="dxa"/>
        <w:jc w:val="center"/>
        <w:tblInd w:w="0" w:type="dxa"/>
        <w:tblLayout w:type="fixed"/>
        <w:tblCellMar>
          <w:top w:w="28" w:type="dxa"/>
          <w:left w:w="28" w:type="dxa"/>
          <w:bottom w:w="28" w:type="dxa"/>
          <w:right w:w="28" w:type="dxa"/>
        </w:tblCellMar>
      </w:tblPr>
      <w:tblGrid>
        <w:gridCol w:w="1079"/>
        <w:gridCol w:w="951"/>
        <w:gridCol w:w="954"/>
        <w:gridCol w:w="202"/>
        <w:gridCol w:w="204"/>
        <w:gridCol w:w="33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percentages)</w:t>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9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 growth</w:t>
            </w:r>
          </w:p>
        </w:tc>
        <w:tc>
          <w:tcPr>
            <w:tcW w:w="4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days effect</w:t>
            </w:r>
            <w:r>
              <w:rPr>
                <w:rFonts w:ascii="Times New Roman;serif" w:hAnsi="Times New Roman;serif"/>
                <w:b w:val="false"/>
                <w:color w:val="000000"/>
                <w:sz w:val="13"/>
              </w:rPr>
              <w:t>(11)</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 effect</w:t>
            </w:r>
            <w:r>
              <w:rPr>
                <w:rFonts w:ascii="Times New Roman;serif" w:hAnsi="Times New Roman;serif"/>
                <w:b w:val="false"/>
                <w:color w:val="000000"/>
                <w:sz w:val="13"/>
              </w:rPr>
              <w:t>(10)</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growth</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5440" w:type="dxa"/>
        <w:jc w:val="center"/>
        <w:tblInd w:w="0" w:type="dxa"/>
        <w:tblLayout w:type="fixed"/>
        <w:tblCellMar>
          <w:top w:w="28" w:type="dxa"/>
          <w:left w:w="28" w:type="dxa"/>
          <w:bottom w:w="28" w:type="dxa"/>
          <w:right w:w="28" w:type="dxa"/>
        </w:tblCellMar>
      </w:tblPr>
      <w:tblGrid>
        <w:gridCol w:w="781"/>
        <w:gridCol w:w="688"/>
        <w:gridCol w:w="691"/>
        <w:gridCol w:w="369"/>
        <w:gridCol w:w="369"/>
        <w:gridCol w:w="371"/>
        <w:gridCol w:w="109"/>
        <w:gridCol w:w="109"/>
        <w:gridCol w:w="109"/>
        <w:gridCol w:w="540"/>
        <w:gridCol w:w="540"/>
        <w:gridCol w:w="76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percentages)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Constant Currency</w:t>
            </w:r>
            <w:r>
              <w:rPr>
                <w:rFonts w:ascii="Times New Roman;serif" w:hAnsi="Times New Roman;serif"/>
                <w:b w:val="false"/>
                <w:color w:val="000000"/>
                <w:sz w:val="13"/>
              </w:rPr>
              <w:t>(1)</w:t>
            </w:r>
          </w:p>
        </w:tc>
      </w:tr>
      <w:tr>
        <w:trPr/>
        <w:tc>
          <w:tcPr>
            <w:tcW w:w="21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market sales growth:</w:t>
            </w:r>
          </w:p>
        </w:tc>
        <w:tc>
          <w:tcPr>
            <w:tcW w:w="110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Engineering</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Earthworks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sales growth:</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2160"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0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Constant currency excludes the effect of divestiture and currency exchange.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Infrastructure sales of $959.3 million increased by $212.1 million, or 28 percent, from 2025. This was driven by organic sales growth of 30 percent and a favorable foreign exchange effect of 2 percent, partially offset by a divestiture effect of 4 percent.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Earthworks end market sales increased as a result of pricing, share gains in mining and construction, and higher demand in construction from availability of material. Energy end market sales increased in the Americas primarily due to pricing, which was partially offset by the effect of a divestiture and declines in EMEA from softer market conditions and order timing. Sales in the General Engineering end market increased in Asia Pacific and the Americas due to pricing, share gains and project timing, partially offset by the effect of a divestiture and a decline in EMEA due to lower ceramics sales. Aerospace &amp; Defense end market sales increased in Americas and EMEA as a result of the execution of our growth initiatives, pricing and project timing.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 regional basis, sales in the Americas increased in all end markets due to price and higher volume in Earthworks and Aerospace &amp; Defense, partially offset by the effect of a divestiture. Sales in EMEA increased in Earthworks and Aerospace &amp; Defense end markets due to higher demand in construction from availability of material and execution of our growth initiatives and project timing, which was partly offset by declines in the General Engineering and Energy end markets. Sales in Asia Pacific increased primarily due to price and higher demand in General Engineering.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2026, Infrastructure operating income was $279.9 million, a $221.4 million increase from 2025. The increase in operating income was driven by the favorable timing of raw material-related pricing compared to costs of approximately $262 million and incremental year-over-year restructuring savings of approximately $6 million. These factors were partially offset by higher compensation costs, lower sales and production volumes, fewer insurance proceeds received during 2026 and general inflation. Infrastructure operating margin in 2026 was 29.2 percent compared to 7.8 percent in the prior year. </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CORPORATE</w:t>
      </w:r>
    </w:p>
    <w:tbl>
      <w:tblPr>
        <w:tblW w:w="4573"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211"/>
        <w:gridCol w:w="691"/>
        <w:gridCol w:w="109"/>
        <w:gridCol w:w="109"/>
        <w:gridCol w:w="109"/>
        <w:gridCol w:w="109"/>
        <w:gridCol w:w="211"/>
        <w:gridCol w:w="691"/>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09" w:type="dxa"/>
            <w:tcBorders>
              <w:top w:val="single" w:sz="4" w:space="0" w:color="000000"/>
              <w:bottom w:val="single" w:sz="4"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2026, Corporate expense increased $1.2 million from 2025.</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LIQUIDITY AND CAPITAL RESOURCES</w:t>
      </w:r>
      <w:r>
        <w:rPr>
          <w:color w:val="000000"/>
        </w:rPr>
        <w:t xml:space="preserve"> </w:t>
      </w:r>
      <w:r>
        <w:rPr>
          <w:rFonts w:ascii="Times New Roman;serif" w:hAnsi="Times New Roman;serif"/>
          <w:b w:val="false"/>
          <w:color w:val="000000"/>
          <w:sz w:val="20"/>
        </w:rPr>
        <w:t>Cash flow from operations is the primary source of funding for working capital requirements, reinvesting in our business through capital expenditures and returning value to shareholders through dividends and share repurchases. During the year ended June 30, 2026, net cash flow used for operating activities was $4.0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the Company completed refinancing transactions designed to enhance liquidity, extend debt maturities and increase financial flexibility. The Company issued $300.0 million of 5.800% Senior Unsecured Notes due 2036 (the "2036 Notes"). Net proceeds from the 2036 Notes were used to fund a tender offer for the Company's outstanding 4.625 percent Senior Unsecured Notes due 2028 (the "2028 Notes"). The tender offer resulted in the repurchase of $209.4 million out of the total $300.0 million aggregate principal of the 2028 Notes. The 2028 Notes were fully redeemed on July 1, 2026 for $91.0 million including a redemption premium.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these transactions, the Company also entered into a new $500.0 million delayed-draw three-year term loan and amended its Credit Agreement to increase aggregate commitments by $200.0 million. The Company expects to have fully drawn the $500.0 million term loan by September 30, 2026, after which any undrawn commitments will no longer be available.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fiscal 2026, we entered into the Seventh Amended and Restated Credit Agreement dated as of November 17, 2025 (the Credit Agreement). The Credit Agreement is a five-year, multi-currency, revolving credit facility, which we use to augment cash from operations and as an additional source of funds. The Credit Agreement allows for borrowings in U.S. dollars, Canadian dollars, euros, pounds sterling and Japanese yen. Interest payable under the Credit Agreement is based upon the type of borrowing under the facility and may be (1) Euro Interbank Offered Rate (EURIBOR), Sterling Overnight Index Average (SONIA), Canadian Overnight Repo Rate Average (CORRA), Tokyo Interbank Offered Rate (TIBOR) and Secured Overnight Financing Rate (SOFR) for any borrowings in euros, pounds sterling, Canadian dollars, yen and U.S. dollars, respectively, plus an applicable margin, (2) the greater of the prime rate or the Federal Funds effective rate plus an applicable margin, or (3) fixed as negotiated by us. The Credit Agreement matures in November 2030.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comply with various restrictive and affirmative covenants, including one financial covenant: a maximum leverage ratio where debt, net of domestic cash and sixty percent of the unrestricted cash held outside of the United States, must be less than or equal to 3.75 times trailing twelve months EBITDA, adjusted for certain non-cash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we were in compliance with all covenants of the Credit Agreement. We had $20 million of borrowings outstanding and $830.0 million of availability as of June 30, 2026. There were no borrowings outstanding as of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on other lines of credit and notes payable were $12.2 million and $1.0 million at June 30, 2026 and 2025, respectively. The lines of credit represented short-term borrowings under credit lines with commercial banks in the various countries in which we operate. The availability of the credit lines, translated into U.S. dollars at June 30, 2026 exchange rates, totaled $48.8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year ended June 30, 2026, average daily borrowings outstanding under the Credit Agreement were approximately $18.2 million. The weighted average interest rate on borrowings under the Credit Agreement was 4.7 percent for the year ended June 30, 2026. Based upon our debt structure at June 30, 2026 and 2025, approximately 4 percent and less than 1 percent of our debt was exposed to variable rates of interest,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the majority of the $1.1 billion unremitted earnings of our non-U.S. subsidiaries to be permanently reinvested. With regard to these unremitted earnings, we have not, nor do we anticipate the need to, repatriate funds to the U.S. to satisfy domestic liquidity needs arising in the ordinary course of business, including liquidity needs associated with our domestic debt service requirements. Determination of the amount of unrecognized deferred tax liability related to indefinitely reinvested earnings is not practicable due to our legal entity structure and the complexity of U.S. and local tax laws. With regard to the small portion of unremitted earnings that are not indefinitely reinvested, we maintain a deferred tax liability for foreign withholding and U.S. state income taxes. The deferred tax liability associated with unremitted earnings of our non-U.S. subsidiaries not permanently reinvested is $6.8 million as of 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we had cash and cash equivalents of $95.8 million. Total Kennametal Shareholders’ equity was $1,569.8 million and total debt was $717.5 million. Our current senior credit ratings are considered investment grade. We believe that our current financial position, liquidity and credit ratings provide us with access to the capital markets. We continue to closely monitor our liquidity position and the condition of the capital markets, as well as the counterparty risk of our credit providers.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fund our anticipated cash requirements through a combination of cash generated from operations, cash on hand and available borrowings. While management believes these sources of liquidity will be sufficient to meet the Company's expected cash requirements, there can be no assurance that actual operating results, cash flows or capital needs will not differ from current expectations. We believe that our cash and cash equivalents, cash flow from operations and available borrowings are sufficient to meet both the short-term and long-term capital needs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our contractual obligations and other commercial commitments as of June 30, 2026: </w:t>
      </w:r>
    </w:p>
    <w:tbl>
      <w:tblPr>
        <w:tblW w:w="10205" w:type="dxa"/>
        <w:jc w:val="left"/>
        <w:tblInd w:w="0" w:type="dxa"/>
        <w:tblLayout w:type="fixed"/>
        <w:tblCellMar>
          <w:top w:w="28" w:type="dxa"/>
          <w:left w:w="28" w:type="dxa"/>
          <w:bottom w:w="28" w:type="dxa"/>
          <w:right w:w="28" w:type="dxa"/>
        </w:tblCellMar>
      </w:tblPr>
      <w:tblGrid>
        <w:gridCol w:w="844"/>
        <w:gridCol w:w="617"/>
        <w:gridCol w:w="621"/>
        <w:gridCol w:w="109"/>
        <w:gridCol w:w="109"/>
        <w:gridCol w:w="109"/>
        <w:gridCol w:w="137"/>
        <w:gridCol w:w="137"/>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7"/>
      </w:tblGrid>
      <w:tr>
        <w:trPr/>
        <w:tc>
          <w:tcPr>
            <w:tcW w:w="84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Obligations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r>
      <w:tr>
        <w:trPr/>
        <w:tc>
          <w:tcPr>
            <w:tcW w:w="20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maturities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905,802 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386,000 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lines of credit and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494949"/>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296,802 </w:t>
            </w:r>
          </w:p>
        </w:tc>
        <w:tc>
          <w:tcPr>
            <w:tcW w:w="109"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185,356 </w:t>
            </w:r>
          </w:p>
        </w:tc>
        <w:tc>
          <w:tcPr>
            <w:tcW w:w="109"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469,053 </w:t>
            </w:r>
          </w:p>
        </w:tc>
        <w:tc>
          <w:tcPr>
            <w:tcW w:w="109" w:type="dxa"/>
            <w:tcBorders>
              <w:top w:val="single" w:sz="8" w:space="0" w:color="494949"/>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494949"/>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494949"/>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(2)Long-term debt includes interest obligations of $216.4 million and excludes unamortized debt issuance costs of $4.2 million. The 2028 Notes were fully redeemed on July 1, 2026 and are reflected in the fiscal 2027 column in the table. Not reflected in the table are any amounts related to the $500.0 million three-year delayed draw term loan that was established in May 2026 as there were no amounts drawn as of June 30, 2026.</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(3)Annual payments are expected to continue into the foreseeable future at the amounts noted in the table.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 2025, the Company signed a material lease agreement related to a future innovation center in Germany. The lease has not yet commenced as the facility has yet to be constructed and the Company does not have the right to use the property until the future handover date. The future cash flows related to this lease are not included in the table.</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(5)Purchase obligations consist of purchase commitments for materials, supplies and machinery and equipment as part of the ordinary conduct of business. Purchase obligations with variable price provisions were determined assuming market prices as of June 30, 2026 remain constant.</w:t>
      </w:r>
    </w:p>
    <w:p>
      <w:pPr>
        <w:pStyle w:val="TextBody"/>
        <w:bidi w:val="0"/>
        <w:spacing w:lineRule="auto" w:line="288" w:before="12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(6)Unrecognized tax benefits are positions taken or expected to be taken on an income tax return that may result in additional payments to tax authorities. These amounts include interest of $0.8 million and a penalty of $0.1 million accrued related to such positions as of June 30, 2026. If a tax authority agrees with the tax position taken or expected to be taken or the applicable statute of limitations expires, then additional payments will not be necessary.</w:t>
      </w:r>
    </w:p>
    <w:tbl>
      <w:tblPr>
        <w:tblW w:w="10205" w:type="dxa"/>
        <w:jc w:val="left"/>
        <w:tblInd w:w="0" w:type="dxa"/>
        <w:tblLayout w:type="fixed"/>
        <w:tblCellMar>
          <w:top w:w="28" w:type="dxa"/>
          <w:left w:w="28" w:type="dxa"/>
          <w:bottom w:w="28" w:type="dxa"/>
          <w:right w:w="28" w:type="dxa"/>
        </w:tblCellMar>
      </w:tblPr>
      <w:tblGrid>
        <w:gridCol w:w="1322"/>
        <w:gridCol w:w="1160"/>
        <w:gridCol w:w="1166"/>
        <w:gridCol w:w="109"/>
        <w:gridCol w:w="109"/>
        <w:gridCol w:w="109"/>
        <w:gridCol w:w="211"/>
        <w:gridCol w:w="721"/>
        <w:gridCol w:w="109"/>
        <w:gridCol w:w="109"/>
        <w:gridCol w:w="109"/>
        <w:gridCol w:w="109"/>
        <w:gridCol w:w="211"/>
        <w:gridCol w:w="616"/>
        <w:gridCol w:w="109"/>
        <w:gridCol w:w="109"/>
        <w:gridCol w:w="109"/>
        <w:gridCol w:w="109"/>
        <w:gridCol w:w="224"/>
        <w:gridCol w:w="656"/>
        <w:gridCol w:w="116"/>
        <w:gridCol w:w="109"/>
        <w:gridCol w:w="109"/>
        <w:gridCol w:w="109"/>
        <w:gridCol w:w="281"/>
        <w:gridCol w:w="542"/>
        <w:gridCol w:w="145"/>
        <w:gridCol w:w="109"/>
        <w:gridCol w:w="109"/>
        <w:gridCol w:w="109"/>
        <w:gridCol w:w="267"/>
        <w:gridCol w:w="513"/>
        <w:gridCol w:w="201"/>
      </w:tblGrid>
      <w:tr>
        <w:trPr/>
        <w:tc>
          <w:tcPr>
            <w:tcW w:w="132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Commercial Commitments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Thereafter</w:t>
            </w:r>
          </w:p>
        </w:tc>
      </w:tr>
      <w:tr>
        <w:trPr/>
        <w:tc>
          <w:tcPr>
            <w:tcW w:w="36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Standby letters of credit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standby letters of credit relate to insurance and other activities. The guarantees are non-debt guarantees with financial institutions, which are required primarily for security deposits, product performance guarantees and advances.</w:t>
      </w:r>
    </w:p>
    <w:p>
      <w:pPr>
        <w:pStyle w:val="TextBody"/>
        <w:bidi w:val="0"/>
        <w:spacing w:lineRule="auto" w:line="288" w:before="120" w:after="283"/>
        <w:jc w:val="left"/>
        <w:rPr/>
      </w:pPr>
      <w:r>
        <w:rPr>
          <w:rFonts w:ascii="Times New Roman;serif" w:hAnsi="Times New Roman;serif"/>
          <w:b w:val="false"/>
          <w:i/>
          <w:color w:val="000000"/>
          <w:sz w:val="20"/>
        </w:rPr>
        <w:t>Share Repurchase Program.</w:t>
      </w:r>
      <w:r>
        <w:rPr>
          <w:color w:val="000000"/>
        </w:rPr>
        <w:t xml:space="preserve"> </w:t>
      </w:r>
      <w:r>
        <w:rPr>
          <w:rFonts w:ascii="Times New Roman;serif" w:hAnsi="Times New Roman;serif"/>
          <w:b w:val="false"/>
          <w:color w:val="000000"/>
          <w:sz w:val="20"/>
        </w:rPr>
        <w:t>In February 2024, the Board of Directors of the Company authorized a $200 million, three-year share repurchase program outside of the Company's dividend reinvestment program. During 2026, the Company repurchased 475 thousand shares of common stock for $10 million. Subsequent to these repurchases, the Company paused activity under the share repurchase program. The Company expects to reassess repurchase activity as cash flow generation improves.</w:t>
      </w:r>
    </w:p>
    <w:p>
      <w:pPr>
        <w:pStyle w:val="TextBody"/>
        <w:bidi w:val="0"/>
        <w:spacing w:lineRule="auto" w:line="288" w:before="120" w:after="283"/>
        <w:jc w:val="left"/>
        <w:rPr/>
      </w:pPr>
      <w:r>
        <w:rPr>
          <w:rFonts w:ascii="Times New Roman;serif" w:hAnsi="Times New Roman;serif"/>
          <w:b w:val="false"/>
          <w:i/>
          <w:color w:val="000000"/>
          <w:sz w:val="20"/>
        </w:rPr>
        <w:t>Dividends.</w:t>
      </w:r>
      <w:r>
        <w:rPr>
          <w:color w:val="000000"/>
        </w:rPr>
        <w:t xml:space="preserve"> </w:t>
      </w:r>
      <w:r>
        <w:rPr>
          <w:rFonts w:ascii="Times New Roman;serif" w:hAnsi="Times New Roman;serif"/>
          <w:b w:val="false"/>
          <w:color w:val="000000"/>
          <w:sz w:val="20"/>
        </w:rPr>
        <w:t>In fiscal 2026, the Board of Directors of the Company declared a dividend of $0.20 per share in each quarter for a total of $61 million in dividends returned to the shareholders.</w:t>
      </w:r>
    </w:p>
    <w:p>
      <w:pPr>
        <w:pStyle w:val="TextBody"/>
        <w:bidi w:val="0"/>
        <w:spacing w:lineRule="auto" w:line="288" w:before="120" w:after="283"/>
        <w:jc w:val="left"/>
        <w:rPr/>
      </w:pPr>
      <w:r>
        <w:rPr>
          <w:rFonts w:ascii="Times New Roman;serif" w:hAnsi="Times New Roman;serif"/>
          <w:b w:val="false"/>
          <w:i/>
          <w:color w:val="000000"/>
          <w:sz w:val="20"/>
        </w:rPr>
        <w:t xml:space="preserve">Cash Flow (Used for) Provided by Operating Activities. </w:t>
      </w:r>
      <w:r>
        <w:rPr>
          <w:rFonts w:ascii="Times New Roman;serif" w:hAnsi="Times New Roman;serif"/>
          <w:b w:val="false"/>
          <w:color w:val="000000"/>
          <w:sz w:val="20"/>
        </w:rPr>
        <w:t>During 2026, net cash flow used for operating activities was $4.0 million, compared to net cash flow provided by operating activities of $208.3 million in 2025. During 2026, cash flow used for operating activities consisted of net income and non-cash items amounting to $590.5 million and changes in certain assets and liabilities netting to an outflow of $594.5 million. Contributing to the change in certain assets and liabilities were an increase in inventories of $593.4 million resulting largely from rising tungsten prices, an increase in accounts receivable of $116.9 million, an increase of other current assets of $102.1 million, which consisted primarily of prepaid assets and advance payments made to certain vendors to secure raw material supply, a decrease in other of $12.2 million and a decrease in accrued pension and postretirement benefits of $7.1 million, partially offset by an increase in accounts payable and accrued liabilities of $226.1 million and an increase in accrued income taxes of $11.0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2025, cash flow provided by operating activities was $208.3 million consisting of net income and non-cash items amounting to $247.5 million and changes in certain assets and liabilities netting to an outflow of $39.2 million. Contributing to the change in certain assets and liabilities were an increase in inventories of $17.4 million, a decrease in accrued income taxes of $12.3 million, a decrease in accrued pension and postretirement benefits of $7.4 million, a decrease in accounts payable and accrued liabilities of $6.2 million and a decrease in other of $5.0 million, partially offset by a decrease in accounts receivable of $9.1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0"/>
        </w:rPr>
        <w:t xml:space="preserve">Cash Flow Used for Investing Activities. </w:t>
      </w:r>
      <w:r>
        <w:rPr>
          <w:rFonts w:ascii="Times New Roman;serif" w:hAnsi="Times New Roman;serif"/>
          <w:b w:val="false"/>
          <w:color w:val="000000"/>
          <w:sz w:val="20"/>
        </w:rPr>
        <w:t>Cash flow used for investing activities was $71.3 million for 2026 compared to $61.8 million in 2025. During 2026, cash flow used for investing activities included capital expenditures, net of $75.1 million, which consisted primarily of equipment upgrades, and proceeds from insurance recoveries of $3.4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2025, cash flow used for investing activities was $61.8 million and included capital expenditures, net of $87.1 million, which consisted primarily of equipment upgrades, proceeds from a divestiture of $18.7 million and proceeds from insurance recoveries of $11.8 million, partially offset by an outflow of $5.2 million which includes an investment in a strategic partnership with Toolpath Labs, Inc.</w:t>
      </w:r>
    </w:p>
    <w:p>
      <w:pPr>
        <w:pStyle w:val="TextBody"/>
        <w:bidi w:val="0"/>
        <w:spacing w:lineRule="auto" w:line="288" w:before="120" w:after="283"/>
        <w:jc w:val="left"/>
        <w:rPr/>
      </w:pPr>
      <w:r>
        <w:rPr>
          <w:rFonts w:ascii="Times New Roman;serif" w:hAnsi="Times New Roman;serif"/>
          <w:b w:val="false"/>
          <w:i/>
          <w:color w:val="000000"/>
          <w:sz w:val="20"/>
        </w:rPr>
        <w:t xml:space="preserve">Cash Flow Provided by (Used for) Financing Activities. </w:t>
      </w:r>
      <w:r>
        <w:rPr>
          <w:rFonts w:ascii="Times New Roman;serif" w:hAnsi="Times New Roman;serif"/>
          <w:b w:val="false"/>
          <w:color w:val="000000"/>
          <w:sz w:val="20"/>
        </w:rPr>
        <w:t xml:space="preserve">Net cash flow provided by financing activities was $31.6 million for 2026 compared to net cash flow used for financing activities of $133.9 million in 2025. During 2026, cash flow provided by financing activities primarily included net proceeds of $297.0 million from the issuance of the 2036 Notes, a net increase in revolving and other lines of credit of $20.0 million and a net increase in notes payable of $11.3 million. These factors were partially offset by $209.4 million due to the partial tender of the 2028 Notes, $60.8 million of cash dividends paid to shareholders, $10.1 million in common shares repurchased, primarily under the share repurchase program, approximately $8.2 million of other financing activities and $8.1 million of the effect of employee benefit and stock plans and dividend reinvestment.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2025, cash flow used for financing activities was $133.9 million and included $61.9 million of cash dividends paid to shareholders, $60.1 million in common shares repurchased, primarily under the share repurchase program and $7.1 million of the effect of employee benefit and stock plans and dividend reinvestment.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FINANCIAL CONDITION</w:t>
      </w:r>
      <w:r>
        <w:rPr>
          <w:color w:val="000000"/>
        </w:rPr>
        <w:t xml:space="preserve"> </w:t>
      </w:r>
      <w:r>
        <w:rPr>
          <w:rFonts w:ascii="Times New Roman;serif" w:hAnsi="Times New Roman;serif"/>
          <w:b w:val="false"/>
          <w:color w:val="000000"/>
          <w:sz w:val="20"/>
        </w:rPr>
        <w:t>At June 30, 2026, total assets were $3,166.8 million, an increase of $621.3 million from $2,545.4 million at June 30, 2025. Total liabilities increased $332.6 million from $1,220.8 million at June 30, 2025 to $1,553.3 million at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Working capital was $1,095.1 million at June 30, 2026, an increase of $478.1 million from $616.9 million at June 30, 2025. The increase in working capital was primarily driven by an increase in inventories of $570.2 million resulting from rising tungsten prices, an increase in accounts receivable of $113.0 million and an increase in other current assets of $94.0 million, which consisted primarily of prepaid assets and advance payments made to certain vendors to secure raw material supply. Partially offsetting these items was an increase in accounts payable of $173.9 million, a decrease in cash and cash equivalents of $44.7 million, an increase in revolving and other lines of credit and notes payable of $31.2 million, an increase in other current liabilities of $30.0 million, and increase in accrued payroll of $11.3 million and an increase in accrued income taxes of $7.4 million. Currency exchange rate effects decreased working capital by a total of approximately $16.8 million, the effects of which are included in the aforementioned changes.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decreased $76.3 million from $919.9 million at June 30, 2025 to $843.6 million at June 30, 2026, primarily due to depreciation of $133.6 million, disposals of $1.8 million and a currency exchange effect of approximately $8.5 million, partially offset by capital additions of $76.9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other assets were $551.4 million, a decrease of $34.8 million from $586.2 million at June 30, 2025. The primary drivers for the decrease were a decrease in deferred income taxes of $49.2 million and amortization of intangibles of $9.5 million. Partially offsetting these items was an increase in other of $16.4 million primarily related to long-term prepaid assets. Currency exchange rate effects decreased other assets by a total of approximately $8.5 million, the effects of which are included in the aforementioned changes.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Kennametal Shareholders’ equity was $1,569.8 million at June 30, 2026, an increase of $285.9 million from $1,284.0 million in the prior year. The increase was primarily due to net income attributable to Kennametal of $342.4 million and capital stock issued under employee benefit and stock plans of $25.8 million, partially offset by cash dividends paid to Kennametal Shareholders of $60.8 million, other comprehensive loss attributable to Kennametal of $12.3 million and the repurchase of capital stock of $10.1 million primarily under the share repurchase program.</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EFFECTS OF INFLATION</w:t>
      </w:r>
      <w:r>
        <w:rPr>
          <w:color w:val="000000"/>
        </w:rPr>
        <w:t xml:space="preserve"> </w:t>
      </w:r>
      <w:r>
        <w:rPr>
          <w:rFonts w:ascii="Times New Roman;serif" w:hAnsi="Times New Roman;serif"/>
          <w:b w:val="false"/>
          <w:color w:val="000000"/>
          <w:sz w:val="20"/>
        </w:rPr>
        <w:t>Rising costs, including the cost of certain raw materials, continue to affect our operations throughout the world. We experienced higher levels of inflation in 2026 and expect inflation will continue to be a challenge in fiscal 2027. We will strive to minimize the effects through cost containment, productivity improvements and price increases.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DISCUSSION OF CRITICAL ACCOUNTING POLICIES</w:t>
      </w:r>
      <w:r>
        <w:rPr>
          <w:color w:val="000000"/>
        </w:rPr>
        <w:t xml:space="preserve"> </w:t>
      </w:r>
      <w:r>
        <w:rPr>
          <w:rFonts w:ascii="Times New Roman;serif" w:hAnsi="Times New Roman;serif"/>
          <w:b w:val="false"/>
          <w:color w:val="000000"/>
          <w:sz w:val="20"/>
        </w:rPr>
        <w:t>In preparing our consolidated financial statements in conformity with accounting principles generally accepted in the U.S., we make judgments and estimates about the amounts reflected in our consolidated financial statements. As part of our financial reporting process, our management collaborates to determine the necessary information on which to base our judgments and develops estimates used to prepare the consolidated financial statements. We use relevant information available at the end of each period to make these judgments and estimates. Our significant accounting policies are described in Note 2 of our consolidated financial statements, which are included in Item 8 of this Annual Report. We believe that the following discussion addresses our critical accounting policies.</w:t>
      </w:r>
    </w:p>
    <w:p>
      <w:pPr>
        <w:pStyle w:val="TextBody"/>
        <w:bidi w:val="0"/>
        <w:spacing w:lineRule="auto" w:line="288" w:before="120" w:after="283"/>
        <w:jc w:val="left"/>
        <w:rPr/>
      </w:pP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The Company's contracts with customers are comprised of purchase orders, and for larger customers, may also include long-term agreements. We account for a contract when it has approval and commitment from both parties, the rights of the parties and payment terms are identified, the contract has commercial substance and collectability of consideration is probable. These contracts with customers typically relate to the manufacturing of products, which represent single performance obligations that are satisfied when control of the product passes to the customer. The Company considers the timing of right to payment, transfer of risk and rewards, transfer of title, transfer of physical possession and customer acceptance when determining when control transfers to the customer. As a result, revenue is generally recognized at a point in time - either upon shipment or delivery - based on the specific shipping terms in the contract. The shipping terms vary across all businesses and depend on the product, customary local commercial terms and the type of transportation. Shipping and handling activities are accounted for as activities to fulfill a promise to transfer a product to a customer and as such, costs incurred are recorded when the related revenue is recognized. Payment for products is due within a limited time period after shipment or delivery, typically within 30 to 90 calendar days of the respective invoice dates. The Company does not generally offer extended payment terms.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we expect to receive in exchange for transferring goods. Amounts billed and due from our customers are classified as accounts receivable, less allowance for doubtful accounts on the consolidated balance sheets. Certain contracts with customers, primarily distributor customers, have an element of variable consideration that is estimated when revenue is recognized under the contract. Variable consideration primarily includes volume incentive rebates, which are based on achieving a certain level of purchases and other performance criteria as established by our distributor programs. These rebates are estimated based on projected sales to the customer and accrued as a reduction of net sales as they are earned. The majority of our products are consumed by our customers or end users in the manufacture of their products. Historically, we have experienced very low levels of returned products and do not consider the effect of returned products to be material. We have recorded an estimated returned goods allowance to provide for any potential returns.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warrant that products sold are free from defects in material and workmanship under normal use and service when correctly installed, used and maintained. This warranty terminates 30 days after delivery of the product to the customer and does not apply to products that have been subjected to misuse, abuse, neglect or improper storage, handling or maintenance. Products may be returned to Kennametal only after inspection and approval by Kennametal and upon receipt by the customer of shipping instructions from Kennametal. We have included an estimated allowance for warranty returns in our returned goods allowance discussed above.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 contract asset when it has a right to payment from a customer that is conditioned on events that have occurred other than the passage of time. The Company also records a contract liability when customers prepay but the Company has not yet satisfied its performance obligation. The Company did not have any material remaining performance obligations, contract assets or liabilities as of June 30, 2026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pays sales commissions related to certain contracts, which qualify as incremental costs of obtaining a contract. However, the Company applies the practical expedient that allows an entity to recognize incremental costs of obtaining a contract as an expense when incurred if the amortization period of the asset that would have been recognized is one year or less. These costs are recorded within operating expense in our consolidated statements of income.</w:t>
      </w:r>
    </w:p>
    <w:p>
      <w:pPr>
        <w:pStyle w:val="TextBody"/>
        <w:bidi w:val="0"/>
        <w:spacing w:lineRule="auto" w:line="288" w:before="120" w:after="283"/>
        <w:jc w:val="left"/>
        <w:rPr/>
      </w:pP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We recognize stock-based compensation expense for all stock options, restricted stock awards and restricted stock units over the period from the date of grant to the date when the award is no longer contingent on the employee providing additional service (substantive vesting period). Forfeitures are recorded as incurred. We utilize the Black-Scholes valuation method to establish the fair value of all stock option awards. Time vesting stock units are valued at the market value of the stock on the grant date. Performance vesting stock units with a market condition are valued using a Monte Carlo model.</w:t>
      </w:r>
    </w:p>
    <w:p>
      <w:pPr>
        <w:pStyle w:val="TextBody"/>
        <w:bidi w:val="0"/>
        <w:spacing w:lineRule="auto" w:line="288" w:before="120" w:after="283"/>
        <w:jc w:val="left"/>
        <w:rPr/>
      </w:pPr>
      <w:r>
        <w:rPr>
          <w:rFonts w:ascii="Times New Roman;serif" w:hAnsi="Times New Roman;serif"/>
          <w:b w:val="false"/>
          <w:i/>
          <w:color w:val="000000"/>
          <w:sz w:val="20"/>
        </w:rPr>
        <w:t>Accounting for Contingencies.</w:t>
      </w:r>
      <w:r>
        <w:rPr>
          <w:color w:val="000000"/>
        </w:rPr>
        <w:t xml:space="preserve"> </w:t>
      </w:r>
      <w:r>
        <w:rPr>
          <w:rFonts w:ascii="Times New Roman;serif" w:hAnsi="Times New Roman;serif"/>
          <w:b w:val="false"/>
          <w:color w:val="000000"/>
          <w:sz w:val="20"/>
        </w:rPr>
        <w:t>We accrue for contingencies when it is probable that a liability or loss has been incurred and the amount can be reasonably estimated. Contingencies by their nature relate to uncertainties that require the exercise of judgment in both assessing whether or not a liability or loss has been incurred and estimating the amount of probable loss. The significant contingencies affecting our consolidated financial statements include environmental, health and safety matters and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0"/>
        </w:rPr>
        <w:t>Long-Lived Assets.</w:t>
      </w:r>
      <w:r>
        <w:rPr>
          <w:color w:val="000000"/>
        </w:rPr>
        <w:t xml:space="preserve"> </w:t>
      </w:r>
      <w:r>
        <w:rPr>
          <w:rFonts w:ascii="Times New Roman;serif" w:hAnsi="Times New Roman;serif"/>
          <w:b w:val="false"/>
          <w:color w:val="000000"/>
          <w:sz w:val="20"/>
        </w:rPr>
        <w:t>We evaluate the recoverability of property, plant and equipment, operating lease right-of-use (ROU) assets and intangible assets that are amortized whenever events or changes in circumstances indicate the carrying amount of such assets may not be fully recoverable. Changes in circumstances include technological advances, changes in our business model, capital structure, economic conditions or operating performance. Our evaluation is performed at the asset group level, based upon, among other things, our assumptions about the estimated future undiscounted cash flows these assets are expected to generate. When the sum of the undiscounted cash flows is less than the carrying value, we will recognize an impairment loss to the extent that carrying value exceeds fair value. We apply our best judgment when performing these evaluations to determine if a triggering event has occurred, the undiscounted cash flows used to assess recoverability and the fair value of the asset group.</w:t>
      </w:r>
    </w:p>
    <w:p>
      <w:pPr>
        <w:pStyle w:val="TextBody"/>
        <w:bidi w:val="0"/>
        <w:spacing w:lineRule="auto" w:line="288" w:before="120" w:after="283"/>
        <w:jc w:val="left"/>
        <w:rPr/>
      </w:pPr>
      <w:r>
        <w:rPr>
          <w:rFonts w:ascii="Times New Roman;serif" w:hAnsi="Times New Roman;serif"/>
          <w:b w:val="false"/>
          <w:i/>
          <w:color w:val="000000"/>
          <w:sz w:val="20"/>
        </w:rPr>
        <w:t>Goodwill.</w:t>
      </w:r>
      <w:r>
        <w:rPr>
          <w:color w:val="000000"/>
        </w:rPr>
        <w:t xml:space="preserve"> </w:t>
      </w:r>
      <w:r>
        <w:rPr>
          <w:rFonts w:ascii="Times New Roman;serif" w:hAnsi="Times New Roman;serif"/>
          <w:b w:val="false"/>
          <w:color w:val="000000"/>
          <w:sz w:val="20"/>
        </w:rPr>
        <w:t xml:space="preserve">Goodwill represents the excess of cost over the fair value of the net assets of acquired companies. We evaluate the recoverability of goodwill of each of our reporting units by comparing the fair value of each reporting unit with its carrying value. Goodwill is tested at least annually for impairment. As of June 30, 2026, goodwill of $279.2 million was allocated only to the Metal Cutting reporting unit. We perform our annual impairment test during the June quarter in connection with our annual planning process unless there are impairment indicators that warrant a test prior to that quarter. We completed annual tests of goodwill impairment and recorded no impairments during 2026, 2025 or 2024 for our Metal Cutting reporting unit. We can use a qualitative test, known as "Step 0," or a quantitative method to determine whether impairment has occurred. In 2026 and 2024, we elected to perform Step 0 and were not required to conduct the quantitative analysis. In 2025, we performed a quantitative "Step 1" analysis using a combination of a discounted cash flow analysis and market multiples based upon historical and projected financial information.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Under the Step 0 test, the Company first assesses qualitative factors to determine whether it is more likely than not that the fair value of the reporting unit is less than its carrying value. Qualitative factors may include, but are not limited to, economic conditions, industry and market considerations, cost factors, overall financial performance of the reporting unit and other entity and reporting unit specific events. If after assessing these qualitative factors, the Company determines it is “more-likely-than-not” that the fair value of the reporting unit is less than the carrying value, then performing the Step 1 quantitative test is necessary.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Step 1 of the quantitative test requires comparison of the fair value of the reporting unit to the respective carrying value. If the carrying value of the reporting unit is less than the fair value, no impairment exists. Otherwise, the Company would recognize an impairment charge for the amount by which the carrying amount of a reporting unit exceeds its fair value up to the amount of goodwill allocated to the reporting unit.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a reporting unit is determined using a combination of a discounted cash flow analysis and market multiples based upon historical and projected financial information. We apply our best judgment when assessing the reasonableness of the financial projections used to determine the fair value of the reporting unit. The discounted cash flow method is used to measure the fair value of our equity under the income approach. A terminal value utilizing a constant growth rate of cash flows is used to calculate a terminal value after the explicit projection period. The estimates and assumptions used in our calculations include revenue and gross margin growth rates, expected capital expenditures to determine projected cash flows, expected tax rates and an estimated discount rate to determine present value of expected cash flows. These estimates are based on historical experiences, our projections of future operating activity and our weighted average cost of capital (WACC). In order to determine the discount rate, the Company uses a market perspective WACC approach. The WACC is calculated incorporating weighted average returns on debt and equity from market participants. Therefore, changes in the market, which are beyond the control of the Company, may have an effect on future calculations of estimated fair value.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determinations require considerable judgment and are sensitive to changes in underlying assumptions and factors. As a result, there can be no assurance that the estimates and assumptions made for purposes of the annual goodwill impairment test will prove to be an accurate prediction of the future. Certain events or circumstances that could reasonably be expected to negatively affect the underlying key assumptions and ultimately affect the estimated fair values of the Metal Cutting reporting unit may include such items as: (i) a decrease in expected future cash flows, (ii) inability to achieve the sales from our strategic growth initiatives, and (iii) increased pressure on margins due to higher inflationary costs or other factors. A significant change in any of these factors may increase the likelihood of a goodwill impairment in a future period.</w:t>
      </w:r>
    </w:p>
    <w:p>
      <w:pPr>
        <w:pStyle w:val="TextBody"/>
        <w:bidi w:val="0"/>
        <w:spacing w:lineRule="auto" w:line="288" w:before="120" w:after="283"/>
        <w:jc w:val="left"/>
        <w:rPr/>
      </w:pPr>
      <w:r>
        <w:rPr>
          <w:rFonts w:ascii="Times New Roman;serif" w:hAnsi="Times New Roman;serif"/>
          <w:b w:val="false"/>
          <w:i/>
          <w:color w:val="000000"/>
          <w:sz w:val="20"/>
        </w:rPr>
        <w:t>Pension and Other Postretirement Benefits</w:t>
      </w:r>
      <w:r>
        <w:rPr>
          <w:color w:val="000000"/>
        </w:rPr>
        <w:t xml:space="preserve"> </w:t>
      </w:r>
      <w:r>
        <w:rPr>
          <w:rFonts w:ascii="Times New Roman;serif" w:hAnsi="Times New Roman;serif"/>
          <w:b w:val="false"/>
          <w:color w:val="000000"/>
          <w:sz w:val="20"/>
        </w:rPr>
        <w:t>We sponsor pension and other postretirement benefit plans for certain employees and retirees. Accounting for the cost of these plans requires the estimation of the cost of the benefits to be provided well into the future and attributing that cost over either the expected work life of employees or over the average life of participants participating in these plans, depending on plan status and on participant population. This estimation requires our judgment about the discount rate used to determine these obligations, expected return on plan assets, rate of future compensation increases, withdrawal and mortality rates and participant retirement age. Differences between our estimates and actual results may significantly affect the cost of our obligations under these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valuation of our pension and other postretirement benefit liabilities, management utilizes various assumptions. Our discount rates are derived by identifying a theoretical settlement portfolio of high quality corporate bonds sufficient to provide for a plan’s projected benefit payments. This rate can fluctuate based on changes in the corporate bond yields. At June 30, 2026, a hypothetical 25 basis point increase or decrease in our discount rates would be immaterial to our pre-tax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long-term rate of return on plan assets is estimated based on an evaluation of historical returns for each asset category held by the plans, coupled with the current and short-term mix of the investment portfolio. The historical returns are adjusted for expected future market and economic changes. This return will fluctuate based on actual market returns and other economic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Future compensation rates, withdrawal rates and participant retirement age are determined based on historical information. These assumptions are not expected to significantly change. Mortality rates are determined based on a review of published mortality tables.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contribute approximately $10.0 million and $0.9 million to our pension and other postretirement benefit plans, respectively, in 2027. Expected pension contributions in 2027 are primarily for international plans.</w:t>
      </w:r>
    </w:p>
    <w:p>
      <w:pPr>
        <w:pStyle w:val="TextBody"/>
        <w:bidi w:val="0"/>
        <w:spacing w:lineRule="auto" w:line="288" w:before="120" w:after="283"/>
        <w:jc w:val="left"/>
        <w:rPr/>
      </w:pPr>
      <w:r>
        <w:rPr>
          <w:rFonts w:ascii="Times New Roman;serif" w:hAnsi="Times New Roman;serif"/>
          <w:b w:val="false"/>
          <w:i/>
          <w:color w:val="000000"/>
          <w:sz w:val="20"/>
        </w:rPr>
        <w:t>Inventories.</w:t>
      </w:r>
      <w:r>
        <w:rPr>
          <w:color w:val="000000"/>
        </w:rPr>
        <w:t xml:space="preserve"> </w:t>
      </w:r>
      <w:r>
        <w:rPr>
          <w:rFonts w:ascii="Times New Roman;serif" w:hAnsi="Times New Roman;serif"/>
          <w:b w:val="false"/>
          <w:color w:val="000000"/>
          <w:sz w:val="20"/>
        </w:rPr>
        <w:t xml:space="preserve">We use the last-in, first-out method for determining the cost of a significant portion of our U.S. inventories, and they are stated at the lower of cost or market. The cost of the remainder of our inventories is measured using approximate costs determined on the first-in, first-out basis or using the average cost method, and are stated at the lower of cost or net realizable value. When market conditions indicate an excess of carrying costs over market value, a lower of cost or net realizable value provision or a lower of cost or market provision, as applicable, is recorded. Once inventory is determined to be excess or obsolete, a new cost basis is established that is not subsequently written back up in future periods. </w:t>
      </w:r>
    </w:p>
    <w:p>
      <w:pPr>
        <w:pStyle w:val="TextBody"/>
        <w:bidi w:val="0"/>
        <w:spacing w:lineRule="auto" w:line="288" w:before="120" w:after="283"/>
        <w:jc w:val="left"/>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The Company’s provision for income taxes is calculated based on income and statutory tax rates in the various jurisdictions in which the Company operates and requires the use of management’s estimates and judgments. Management judgment is required in determining the Company’s worldwide provision for income taxes and recording the related assets and liabilities, including accruals for unrecognized tax benefits and assessing the need for valuation allowances on deferred tax assets. Realization of our deferred tax assets is primarily dependent on future taxable income, the timing and amount of which are uncertain. A valuation allowance is recognized if it is “more likely than not” that some or all of a deferred tax asset will not be realized. As of June 30, 2026, the deferred tax assets net of valuation allowances relate primarily to net operating loss and other carryforwards, pension benefits, accrued employee benefits and inventory. In the event that we were to determine that we would not be able to realize our deferred tax assets in the future, an increase in the valuation allowance would be required. In the event we were to determine that we are able to use our deferred tax assets for which a valuation allowance is recorded, a decrease in the valuation allowance would be required.</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adopt any new accounting standards during 2026 that have had or are expected to have a material impact on the Company's consolidated financial statements or disclosures.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RECONCILIATION OF FINANCIAL MEASURES NOT DEFINED BY U.S. GAAP</w:t>
      </w:r>
      <w:r>
        <w:rPr>
          <w:color w:val="000000"/>
        </w:rPr>
        <w:t xml:space="preserve"> </w:t>
      </w:r>
      <w:r>
        <w:rPr>
          <w:rFonts w:ascii="Times New Roman;serif" w:hAnsi="Times New Roman;serif"/>
          <w:b w:val="false"/>
          <w:color w:val="000000"/>
          <w:sz w:val="20"/>
        </w:rPr>
        <w:t>In accordance with SEC rules, we are providing descriptions of the non-GAAP financial measures included in this Annual Report and reconciliations to the most closely related GAAP financial measures. We believe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pStyle w:val="TextBody"/>
        <w:bidi w:val="0"/>
        <w:spacing w:lineRule="auto" w:line="288" w:before="120" w:after="283"/>
        <w:jc w:val="left"/>
        <w:rPr/>
      </w:pPr>
      <w:r>
        <w:rPr>
          <w:rFonts w:ascii="Times New Roman;serif" w:hAnsi="Times New Roman;serif"/>
          <w:b w:val="false"/>
          <w:i/>
          <w:color w:val="000000"/>
          <w:sz w:val="20"/>
        </w:rPr>
        <w:t xml:space="preserve">Organic sales growth. </w:t>
      </w:r>
      <w:r>
        <w:rPr>
          <w:rFonts w:ascii="Times New Roman;serif" w:hAnsi="Times New Roman;serif"/>
          <w:b w:val="false"/>
          <w:color w:val="000000"/>
          <w:sz w:val="20"/>
        </w:rPr>
        <w:t>Organic sales growth is a non-GAAP financial measure of sales growth (which is the most directly comparable GAAP measure) excluding the effects of acquisitions, divestitures, business days and foreign currency exchange from year-over-year comparisons. We believe this measure provides investors with a supplemental understanding of underlying sales trends by providing sales growth on a consistent basis. We report organic sales growth at the consolidated and segment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0"/>
        </w:rPr>
        <w:t>Constant currency end market sales growth.</w:t>
      </w:r>
      <w:r>
        <w:rPr>
          <w:color w:val="000000"/>
        </w:rPr>
        <w:t xml:space="preserve"> </w:t>
      </w:r>
      <w:r>
        <w:rPr>
          <w:rFonts w:ascii="Times New Roman;serif" w:hAnsi="Times New Roman;serif"/>
          <w:b w:val="false"/>
          <w:color w:val="000000"/>
          <w:sz w:val="20"/>
        </w:rPr>
        <w:t xml:space="preserve">Constant currency end market sales growth is a non-GAAP financial measure of sales growth (which is the most directly comparable GAAP measure) by end market excluding the effects of acquisitions, divestitures and foreign currency exchange from year-over-year comparisons. We note that, unlike organic sales growth, constant currency end market sales growth does not exclude the effect of business days. We believe this measure provides investors with a supplemental understanding of underlying end market trends by providing end market sales growth on a consistent basis. We report constant currency end market sales growth at the consolidated and segment levels. </w:t>
      </w:r>
    </w:p>
    <w:p>
      <w:pPr>
        <w:pStyle w:val="TextBody"/>
        <w:bidi w:val="0"/>
        <w:spacing w:lineRule="auto" w:line="288" w:before="120" w:after="283"/>
        <w:jc w:val="left"/>
        <w:rPr/>
      </w:pPr>
      <w:r>
        <w:rPr>
          <w:rFonts w:ascii="Times New Roman;serif" w:hAnsi="Times New Roman;serif"/>
          <w:b w:val="false"/>
          <w:i/>
          <w:color w:val="000000"/>
          <w:sz w:val="20"/>
        </w:rPr>
        <w:t xml:space="preserve">Constant currency regional sales growth. </w:t>
      </w:r>
      <w:r>
        <w:rPr>
          <w:rFonts w:ascii="Times New Roman;serif" w:hAnsi="Times New Roman;serif"/>
          <w:b w:val="false"/>
          <w:color w:val="000000"/>
          <w:sz w:val="20"/>
        </w:rPr>
        <w:t>Constant currency regional sales growth is a non-GAAP financial measure of sales growth (which is the most directly comparable GAAP measure) by region excluding the effects of acquisitions, divestitures and foreign currency exchange from year-over-year comparisons. We note that, unlike organic sales growth, constant currency regional sales growth does not exclude the effect of business days. We believe this measure provides investors with a supplemental understanding of underlying regional trends by providing regional sales growth on a consistent basis. We report constant currency regional sales growth at the consolidated and segment levels.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Reconciliations of organic sales growth to sales growth are as follows:</w:t>
      </w:r>
    </w:p>
    <w:tbl>
      <w:tblPr>
        <w:tblW w:w="6015" w:type="dxa"/>
        <w:jc w:val="center"/>
        <w:tblInd w:w="0" w:type="dxa"/>
        <w:tblLayout w:type="fixed"/>
        <w:tblCellMar>
          <w:top w:w="28" w:type="dxa"/>
          <w:left w:w="28" w:type="dxa"/>
          <w:bottom w:w="28" w:type="dxa"/>
          <w:right w:w="28" w:type="dxa"/>
        </w:tblCellMar>
      </w:tblPr>
      <w:tblGrid>
        <w:gridCol w:w="1080"/>
        <w:gridCol w:w="948"/>
        <w:gridCol w:w="956"/>
        <w:gridCol w:w="419"/>
        <w:gridCol w:w="419"/>
        <w:gridCol w:w="421"/>
        <w:gridCol w:w="395"/>
        <w:gridCol w:w="395"/>
        <w:gridCol w:w="396"/>
        <w:gridCol w:w="171"/>
        <w:gridCol w:w="171"/>
        <w:gridCol w:w="244"/>
      </w:tblGrid>
      <w:tr>
        <w:trPr/>
        <w:tc>
          <w:tcPr>
            <w:tcW w:w="108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June 30, 2026</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9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 growth</w:t>
            </w:r>
          </w:p>
        </w:tc>
        <w:tc>
          <w:tcPr>
            <w:tcW w:w="12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5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days effect</w:t>
            </w:r>
            <w:r>
              <w:rPr>
                <w:rFonts w:ascii="Times New Roman;serif" w:hAnsi="Times New Roman;serif"/>
                <w:b w:val="false"/>
                <w:color w:val="000000"/>
                <w:sz w:val="13"/>
              </w:rPr>
              <w:t>(11)</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 effect</w:t>
            </w:r>
            <w:r>
              <w:rPr>
                <w:rFonts w:ascii="Times New Roman;serif" w:hAnsi="Times New Roman;serif"/>
                <w:b w:val="false"/>
                <w:color w:val="000000"/>
                <w:sz w:val="13"/>
              </w:rPr>
              <w:t>(10)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9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growth</w:t>
            </w:r>
          </w:p>
        </w:tc>
        <w:tc>
          <w:tcPr>
            <w:tcW w:w="12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Reconciliations of constant currency end market sales growth to end market sales growth are as follows:</w:t>
      </w:r>
    </w:p>
    <w:tbl>
      <w:tblPr>
        <w:tblW w:w="9254" w:type="dxa"/>
        <w:jc w:val="center"/>
        <w:tblInd w:w="0" w:type="dxa"/>
        <w:tblLayout w:type="fixed"/>
        <w:tblCellMar>
          <w:top w:w="28" w:type="dxa"/>
          <w:left w:w="28" w:type="dxa"/>
          <w:bottom w:w="28" w:type="dxa"/>
          <w:right w:w="28" w:type="dxa"/>
        </w:tblCellMar>
      </w:tblPr>
      <w:tblGrid>
        <w:gridCol w:w="1304"/>
        <w:gridCol w:w="1147"/>
        <w:gridCol w:w="1148"/>
        <w:gridCol w:w="230"/>
        <w:gridCol w:w="230"/>
        <w:gridCol w:w="231"/>
        <w:gridCol w:w="594"/>
        <w:gridCol w:w="594"/>
        <w:gridCol w:w="596"/>
        <w:gridCol w:w="609"/>
        <w:gridCol w:w="609"/>
        <w:gridCol w:w="611"/>
        <w:gridCol w:w="395"/>
        <w:gridCol w:w="395"/>
        <w:gridCol w:w="561"/>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June 30,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Engineering</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Transportation</w:t>
            </w:r>
          </w:p>
        </w:tc>
      </w:tr>
      <w:tr>
        <w:trPr/>
        <w:tc>
          <w:tcPr>
            <w:tcW w:w="35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end market sales growth</w:t>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8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3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59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End market sales growth</w:t>
            </w:r>
            <w:r>
              <w:rPr>
                <w:rFonts w:ascii="Times New Roman;serif" w:hAnsi="Times New Roman;serif"/>
                <w:b w:val="false"/>
                <w:color w:val="000000"/>
                <w:sz w:val="13"/>
              </w:rPr>
              <w:t>(8)</w:t>
            </w:r>
          </w:p>
        </w:tc>
        <w:tc>
          <w:tcPr>
            <w:tcW w:w="69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78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82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135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tbl>
      <w:tblPr>
        <w:tblW w:w="8970" w:type="dxa"/>
        <w:jc w:val="center"/>
        <w:tblInd w:w="0" w:type="dxa"/>
        <w:tblLayout w:type="fixed"/>
        <w:tblCellMar>
          <w:top w:w="28" w:type="dxa"/>
          <w:left w:w="28" w:type="dxa"/>
          <w:bottom w:w="28" w:type="dxa"/>
          <w:right w:w="28" w:type="dxa"/>
        </w:tblCellMar>
      </w:tblPr>
      <w:tblGrid>
        <w:gridCol w:w="1304"/>
        <w:gridCol w:w="1145"/>
        <w:gridCol w:w="1151"/>
        <w:gridCol w:w="230"/>
        <w:gridCol w:w="230"/>
        <w:gridCol w:w="231"/>
        <w:gridCol w:w="594"/>
        <w:gridCol w:w="594"/>
        <w:gridCol w:w="596"/>
        <w:gridCol w:w="609"/>
        <w:gridCol w:w="609"/>
        <w:gridCol w:w="611"/>
        <w:gridCol w:w="312"/>
        <w:gridCol w:w="312"/>
        <w:gridCol w:w="442"/>
      </w:tblGrid>
      <w:tr>
        <w:trPr/>
        <w:tc>
          <w:tcPr>
            <w:tcW w:w="13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June 30,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Engineering</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Earthworks</w:t>
            </w:r>
          </w:p>
        </w:tc>
      </w:tr>
      <w:tr>
        <w:trPr/>
        <w:tc>
          <w:tcPr>
            <w:tcW w:w="36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end market sales growth</w:t>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18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0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 effect</w:t>
            </w:r>
            <w:r>
              <w:rPr>
                <w:rFonts w:ascii="Times New Roman;serif" w:hAnsi="Times New Roman;serif"/>
                <w:b w:val="false"/>
                <w:color w:val="000000"/>
                <w:sz w:val="13"/>
              </w:rPr>
              <w:t>(10)</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End market sales growth</w:t>
            </w:r>
            <w:r>
              <w:rPr>
                <w:rFonts w:ascii="Times New Roman;serif" w:hAnsi="Times New Roman;serif"/>
                <w:b w:val="false"/>
                <w:color w:val="000000"/>
                <w:sz w:val="13"/>
              </w:rPr>
              <w:t>(8)</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17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8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10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bl>
    <w:tbl>
      <w:tblPr>
        <w:tblW w:w="10205" w:type="dxa"/>
        <w:jc w:val="center"/>
        <w:tblInd w:w="0" w:type="dxa"/>
        <w:tblLayout w:type="fixed"/>
        <w:tblCellMar>
          <w:top w:w="28" w:type="dxa"/>
          <w:left w:w="28" w:type="dxa"/>
          <w:bottom w:w="28" w:type="dxa"/>
          <w:right w:w="28" w:type="dxa"/>
        </w:tblCellMar>
      </w:tblPr>
      <w:tblGrid>
        <w:gridCol w:w="1284"/>
        <w:gridCol w:w="1128"/>
        <w:gridCol w:w="1142"/>
        <w:gridCol w:w="230"/>
        <w:gridCol w:w="230"/>
        <w:gridCol w:w="231"/>
        <w:gridCol w:w="590"/>
        <w:gridCol w:w="590"/>
        <w:gridCol w:w="592"/>
        <w:gridCol w:w="603"/>
        <w:gridCol w:w="603"/>
        <w:gridCol w:w="605"/>
        <w:gridCol w:w="435"/>
        <w:gridCol w:w="435"/>
        <w:gridCol w:w="436"/>
        <w:gridCol w:w="312"/>
        <w:gridCol w:w="312"/>
        <w:gridCol w:w="447"/>
      </w:tblGrid>
      <w:tr>
        <w:trPr/>
        <w:tc>
          <w:tcPr>
            <w:tcW w:w="128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June 30, 2026</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Energy</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General Engineering</w:t>
            </w:r>
          </w:p>
        </w:tc>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Earthworks</w:t>
            </w:r>
          </w:p>
        </w:tc>
      </w:tr>
      <w:tr>
        <w:trPr/>
        <w:tc>
          <w:tcPr>
            <w:tcW w:w="35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end market sales growth</w:t>
            </w:r>
          </w:p>
        </w:tc>
        <w:tc>
          <w:tcPr>
            <w:tcW w:w="6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77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81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 effect</w:t>
            </w:r>
            <w:r>
              <w:rPr>
                <w:rFonts w:ascii="Times New Roman;serif" w:hAnsi="Times New Roman;serif"/>
                <w:b w:val="false"/>
                <w:color w:val="000000"/>
                <w:sz w:val="13"/>
              </w:rPr>
              <w:t>(10)</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End market sales growth</w:t>
            </w:r>
            <w:r>
              <w:rPr>
                <w:rFonts w:ascii="Times New Roman;serif" w:hAnsi="Times New Roman;serif"/>
                <w:b w:val="false"/>
                <w:color w:val="000000"/>
                <w:sz w:val="13"/>
              </w:rPr>
              <w:t>(8)</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5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Reconciliations of constant currency regional sales growth to reported regional sales growth are as follows:</w:t>
      </w:r>
    </w:p>
    <w:tbl>
      <w:tblPr>
        <w:tblW w:w="7205" w:type="dxa"/>
        <w:jc w:val="center"/>
        <w:tblInd w:w="0" w:type="dxa"/>
        <w:tblLayout w:type="fixed"/>
        <w:tblCellMar>
          <w:top w:w="28" w:type="dxa"/>
          <w:left w:w="28" w:type="dxa"/>
          <w:bottom w:w="28" w:type="dxa"/>
          <w:right w:w="28" w:type="dxa"/>
        </w:tblCellMar>
      </w:tblPr>
      <w:tblGrid>
        <w:gridCol w:w="1223"/>
        <w:gridCol w:w="1075"/>
        <w:gridCol w:w="1077"/>
        <w:gridCol w:w="109"/>
        <w:gridCol w:w="109"/>
        <w:gridCol w:w="109"/>
        <w:gridCol w:w="285"/>
        <w:gridCol w:w="285"/>
        <w:gridCol w:w="286"/>
        <w:gridCol w:w="146"/>
        <w:gridCol w:w="146"/>
        <w:gridCol w:w="146"/>
        <w:gridCol w:w="220"/>
        <w:gridCol w:w="220"/>
        <w:gridCol w:w="221"/>
        <w:gridCol w:w="146"/>
        <w:gridCol w:w="146"/>
        <w:gridCol w:w="146"/>
        <w:gridCol w:w="324"/>
        <w:gridCol w:w="324"/>
        <w:gridCol w:w="462"/>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 June 30, 2026</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r>
      <w:tr>
        <w:trPr/>
        <w:tc>
          <w:tcPr>
            <w:tcW w:w="33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regional sales growth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33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Regional sales growth</w:t>
            </w:r>
            <w:r>
              <w:rPr>
                <w:rFonts w:ascii="Times New Roman;serif" w:hAnsi="Times New Roman;serif"/>
                <w:b w:val="false"/>
                <w:color w:val="000000"/>
                <w:sz w:val="13"/>
              </w:rPr>
              <w:t>(9)</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4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43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3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regional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 effect</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Regional sales growth</w:t>
            </w:r>
            <w:r>
              <w:rPr>
                <w:rFonts w:ascii="Times New Roman;serif" w:hAnsi="Times New Roman;serif"/>
                <w:b w:val="false"/>
                <w:color w:val="000000"/>
                <w:sz w:val="13"/>
              </w:rPr>
              <w:t>(9)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regional sales growth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effect</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Divestiture effect</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Regional sales growth</w:t>
            </w:r>
            <w:r>
              <w:rPr>
                <w:rFonts w:ascii="Times New Roman;serif" w:hAnsi="Times New Roman;serif"/>
                <w:b w:val="false"/>
                <w:color w:val="000000"/>
                <w:sz w:val="13"/>
              </w:rPr>
              <w:t>(9)</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43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438"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TextBody"/>
        <w:bidi w:val="0"/>
        <w:spacing w:lineRule="auto" w:line="288" w:before="120" w:after="283"/>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Foreign currency exchange effect is calculated by dividing the difference between current period sales and current period sales at prior period foreign exchange rates by prior period sales.</w:t>
      </w:r>
    </w:p>
    <w:p>
      <w:pPr>
        <w:pStyle w:val="TextBody"/>
        <w:bidi w:val="0"/>
        <w:spacing w:lineRule="auto" w:line="288" w:before="120" w:after="283"/>
        <w:jc w:val="left"/>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Aggregate sales for all end markets sum to the sales amount presented on Kennametal's consolidated financial statements.</w:t>
      </w:r>
    </w:p>
    <w:p>
      <w:pPr>
        <w:pStyle w:val="TextBody"/>
        <w:bidi w:val="0"/>
        <w:spacing w:lineRule="auto" w:line="288" w:before="120" w:after="283"/>
        <w:jc w:val="left"/>
        <w:rPr/>
      </w:pPr>
      <w:r>
        <w:rPr>
          <w:rFonts w:ascii="Times New Roman;serif" w:hAnsi="Times New Roman;serif"/>
          <w:b w:val="false"/>
          <w:color w:val="000000"/>
          <w:sz w:val="10"/>
        </w:rPr>
        <w:t>(9)</w:t>
      </w:r>
      <w:r>
        <w:rPr>
          <w:color w:val="000000"/>
        </w:rPr>
        <w:t xml:space="preserve"> </w:t>
      </w:r>
      <w:r>
        <w:rPr>
          <w:rFonts w:ascii="Times New Roman;serif" w:hAnsi="Times New Roman;serif"/>
          <w:b w:val="false"/>
          <w:color w:val="000000"/>
          <w:sz w:val="16"/>
        </w:rPr>
        <w:t>Aggregate sales for all regions sum to the sales amount presented on Kennametal's consolidated financial statements.</w:t>
      </w:r>
    </w:p>
    <w:p>
      <w:pPr>
        <w:pStyle w:val="TextBody"/>
        <w:bidi w:val="0"/>
        <w:spacing w:lineRule="auto" w:line="288" w:before="120" w:after="283"/>
        <w:jc w:val="left"/>
        <w:rPr/>
      </w:pPr>
      <w:r>
        <w:rPr>
          <w:rFonts w:ascii="Times New Roman;serif" w:hAnsi="Times New Roman;serif"/>
          <w:b w:val="false"/>
          <w:color w:val="000000"/>
          <w:sz w:val="10"/>
        </w:rPr>
        <w:t>(10)</w:t>
      </w:r>
      <w:r>
        <w:rPr>
          <w:color w:val="000000"/>
        </w:rPr>
        <w:t xml:space="preserve"> </w:t>
      </w:r>
      <w:r>
        <w:rPr>
          <w:rFonts w:ascii="Times New Roman;serif" w:hAnsi="Times New Roman;serif"/>
          <w:b w:val="false"/>
          <w:color w:val="000000"/>
          <w:sz w:val="16"/>
        </w:rPr>
        <w:t>Divestiture effect is calculated by dividing prior period sales attributable to divested businesses by prior period sales.</w:t>
      </w:r>
    </w:p>
    <w:p>
      <w:pPr>
        <w:pStyle w:val="TextBody"/>
        <w:bidi w:val="0"/>
        <w:spacing w:lineRule="auto" w:line="288" w:before="120" w:after="283"/>
        <w:jc w:val="left"/>
        <w:rPr/>
      </w:pPr>
      <w:r>
        <w:rPr>
          <w:rFonts w:ascii="Times New Roman;serif" w:hAnsi="Times New Roman;serif"/>
          <w:b w:val="false"/>
          <w:color w:val="000000"/>
          <w:sz w:val="10"/>
        </w:rPr>
        <w:t>(11)</w:t>
      </w:r>
      <w:r>
        <w:rPr>
          <w:color w:val="000000"/>
        </w:rPr>
        <w:t xml:space="preserve"> </w:t>
      </w:r>
      <w:r>
        <w:rPr>
          <w:rFonts w:ascii="Times New Roman;serif" w:hAnsi="Times New Roman;serif"/>
          <w:b w:val="false"/>
          <w:color w:val="000000"/>
          <w:sz w:val="16"/>
        </w:rPr>
        <w:t>Business days effect is calculated by dividing the year-over-year change in weighted average working days (based on mix of sales by country) by prior period weighted average working days.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7A - QUANTITATIVE AND QUALITATIVE DISCLOSURES ABOUT MARKET RISK</w:t>
      </w:r>
    </w:p>
    <w:p>
      <w:pPr>
        <w:pStyle w:val="TextBody"/>
        <w:bidi w:val="0"/>
        <w:spacing w:lineRule="auto" w:line="288" w:before="120" w:after="283"/>
        <w:jc w:val="left"/>
        <w:rPr/>
      </w:pPr>
      <w:r>
        <w:rPr>
          <w:rFonts w:ascii="Times New Roman;serif" w:hAnsi="Times New Roman;serif"/>
          <w:b/>
          <w:color w:val="000000"/>
          <w:sz w:val="20"/>
        </w:rPr>
        <w:t>MARKET RISK</w:t>
      </w:r>
      <w:r>
        <w:rPr>
          <w:color w:val="000000"/>
        </w:rPr>
        <w:t xml:space="preserve"> </w:t>
      </w:r>
      <w:r>
        <w:rPr>
          <w:rFonts w:ascii="Times New Roman;serif" w:hAnsi="Times New Roman;serif"/>
          <w:b w:val="false"/>
          <w:color w:val="000000"/>
          <w:sz w:val="20"/>
        </w:rPr>
        <w:t>We are exposed to certain market risks arising from transactions that are entered into in the normal course of business. As part of our financial risk management program, we use certain derivative financial instruments to manage these risks. We do not enter into derivative transactions for speculative purposes and, therefore, hold no derivative instruments for trading purposes. We may use derivative financial instruments to provide predictability to the effects of changes in foreign exchange rates on our consolidated results. Our objective in managing foreign exchange exposures with derivative instruments is to reduce volatility in cash flow, allowing us to focus more of our attention on business operations. See Notes 2 and 6 of our consolidated financial statements set forth in Item 8 of this Annual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counterparty credit risk for nonperformance of derivative contracts and, in the event of nonperformance, to market risk for changes in currency exchange rates, as well as settlement risk. We manage exposure to counterparty credit risk through credit standards, diversification of counterparties and procedures to monitor concentrations of credit risk. We do not anticipate nonperformance by any of the counterparties.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Included below is a sensitivity analysis that is based upon a hypothetical 10 percent weakening or strengthening in the U.S. dollar and its effects on the June 30, 2026 currency exchange rates. We compared our contractual derivative arrangements in effect at June 30, 2026 to the hypothetical foreign exchange in the sensitivity analysis to determine the effect on pre-tax income and accumulated other comprehensive loss. Our analysis takes into consideration the different types of derivative instruments and the applicability of hedge accounting.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Also included below is a sensitivity analysis that is based upon a hypothetical 10 percent change on the effective interest rates under our current borrowing arrangements as of June 30, 2026. We compared our borrowing arrangements in effect at June 30, 2026 to the hypothetical interest rates in the sensitivity analysis to determine the effect on interest expense, pre-tax income and accumulated other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 xml:space="preserve">DERIVATIVE INSTRUMENTS AND HEDGING ACTIVITIES </w:t>
      </w:r>
      <w:r>
        <w:rPr>
          <w:rFonts w:ascii="Times New Roman;serif" w:hAnsi="Times New Roman;serif"/>
          <w:b w:val="false"/>
          <w:color w:val="000000"/>
          <w:sz w:val="20"/>
        </w:rPr>
        <w:t xml:space="preserve">Certain currency forward contracts that hedge significant cross-border intercompany loans are considered as other derivatives and therefore do not qualify for hedge accounting. Range forward contracts (a transaction where both a put option is purchased and a call option is sold) are designated as cash flow hedges and hedge anticipated cash flows from cross-border intercompany sales of products and services. At June 30, 2026, a hypothetical 10 percent strengthening or weakening of the U.S. dollar would have changed accumulated other comprehensive loss, net of tax, by $1.3 million and pre-tax income by $2.5 million. </w:t>
      </w:r>
    </w:p>
    <w:p>
      <w:pPr>
        <w:pStyle w:val="TextBody"/>
        <w:bidi w:val="0"/>
        <w:spacing w:lineRule="auto" w:line="288" w:before="120" w:after="283"/>
        <w:jc w:val="left"/>
        <w:rPr/>
      </w:pPr>
      <w:r>
        <w:rPr>
          <w:rFonts w:ascii="Times New Roman;serif" w:hAnsi="Times New Roman;serif"/>
          <w:b/>
          <w:color w:val="000000"/>
          <w:sz w:val="20"/>
        </w:rPr>
        <w:t>DEBT, REVOLVING AND OTHER LINES OF CREDIT AND NOTES PAYABLE</w:t>
      </w:r>
      <w:r>
        <w:rPr>
          <w:color w:val="000000"/>
        </w:rPr>
        <w:t xml:space="preserve"> </w:t>
      </w:r>
      <w:r>
        <w:rPr>
          <w:rFonts w:ascii="Times New Roman;serif" w:hAnsi="Times New Roman;serif"/>
          <w:b w:val="false"/>
          <w:color w:val="000000"/>
          <w:sz w:val="20"/>
        </w:rPr>
        <w:t>At June 30, 2026 and 2025, we had $717.5 million and $597.8 million, respectively, of outstanding debt, including revolving and other lines of credit and notes payable. The effective interest rate was 4.4 percent and 3.7 percent as of June 30, 2026 and 2025, respectively. Based upon our debt structure at June 30, 2026 and 2025, approximately 4 percent and less than 1 percent of our debt was exposed to variable rates of interest, respectively. A hypothetical change of 10 percent in market interest rates from June 30, 2026 levels would be immaterial.</w:t>
      </w:r>
    </w:p>
    <w:p>
      <w:pPr>
        <w:pStyle w:val="TextBody"/>
        <w:bidi w:val="0"/>
        <w:spacing w:lineRule="auto" w:line="288" w:before="120" w:after="283"/>
        <w:jc w:val="left"/>
        <w:rPr/>
      </w:pPr>
      <w:r>
        <w:rPr>
          <w:rFonts w:ascii="Times New Roman;serif" w:hAnsi="Times New Roman;serif"/>
          <w:b/>
          <w:color w:val="000000"/>
          <w:sz w:val="20"/>
        </w:rPr>
        <w:t>CURRENCY EXCHANGE RATE FLUCTUATIONS</w:t>
      </w:r>
      <w:r>
        <w:rPr>
          <w:color w:val="000000"/>
        </w:rPr>
        <w:t xml:space="preserve"> </w:t>
      </w:r>
      <w:r>
        <w:rPr>
          <w:rFonts w:ascii="Times New Roman;serif" w:hAnsi="Times New Roman;serif"/>
          <w:b w:val="false"/>
          <w:color w:val="000000"/>
          <w:sz w:val="20"/>
        </w:rPr>
        <w:t>Currency exchange rate fluctuations increased diluted earnings per share by $0.02 in 2026 and decreased diluted earnings per share by $0.02 in 2025. Currency exchange rate fluctuations may have a material effect on future earnings in the short term and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8 - FINANCIAL STATEMENTS AND SUPPLEMENTARY DATA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left"/>
        <w:rPr/>
      </w:pPr>
      <w:r>
        <w:rPr>
          <w:rFonts w:ascii="Times New Roman;serif" w:hAnsi="Times New Roman;serif"/>
          <w:b w:val="false"/>
          <w:color w:val="000000"/>
          <w:sz w:val="20"/>
        </w:rPr>
        <w:t xml:space="preserve">Management is responsible for establishing and maintaining adequate internal control over financial reporting. Management has conducted an assessment of the Company’s internal controls over financial reporting as of June 30, 2026 using the criteria in </w:t>
      </w:r>
      <w:r>
        <w:rPr>
          <w:rFonts w:ascii="Times New Roman;serif" w:hAnsi="Times New Roman;serif"/>
          <w:b w:val="false"/>
          <w:i/>
          <w:color w:val="000000"/>
          <w:sz w:val="20"/>
        </w:rPr>
        <w:t>Internal Control – Integrated Framework (2013)</w:t>
      </w:r>
      <w:r>
        <w:rPr>
          <w:rFonts w:ascii="Times New Roman;serif" w:hAnsi="Times New Roman;serif"/>
          <w:b w:val="false"/>
          <w:color w:val="000000"/>
          <w:sz w:val="20"/>
        </w:rPr>
        <w:t>, issued by the Committee of Sponsoring Organizations of the Treadway Commission (COSO).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jc w:val="left"/>
        <w:rPr/>
      </w:pPr>
      <w:r>
        <w:rPr>
          <w:rFonts w:ascii="Times New Roman;serif" w:hAnsi="Times New Roman;serif"/>
          <w:b w:val="false"/>
          <w:color w:val="000000"/>
          <w:sz w:val="20"/>
        </w:rPr>
        <w:t xml:space="preserve">Based on its assessment, management has concluded that the Company maintained effective internal control over financial reporting as of June 30, 2026, based on the criteria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COSO. The effectiveness of the Company’s internal control over financial reporting as of June 30, 2026 has been audited by PricewaterhouseCoopers LLP, an independent registered public accounting firm, as stated in their report which is included in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Shareholders of Kennametal Inc.</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120" w:after="283"/>
        <w:jc w:val="left"/>
        <w:rPr/>
      </w:pPr>
      <w:r>
        <w:rPr>
          <w:rFonts w:ascii="Times New Roman;serif" w:hAnsi="Times New Roman;serif"/>
          <w:b w:val="false"/>
          <w:color w:val="000000"/>
          <w:sz w:val="20"/>
        </w:rPr>
        <w:t xml:space="preserve">We have audited the accompanying consolidated balance sheets of Kennametal Inc. and its subsidiaries (the "Company") as of June 30, 2026 and 2025, and the related consolidated statements of income, of comprehensive income, of shareholders' equity and of cash flows for each of the three years in the period ended June 30, 2026, including the related notes and financial statement schedule listed in the index appearing under Item 15(a)(2) (collectively referred to as the "consolidated financial statements"). We also have audited the Company's internal control over financial reporting as of June 30,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88" w:before="120" w:after="283"/>
        <w:jc w:val="left"/>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 Also in our opinion, the Company maintained, in all material respects, effective internal control over financial reporting as of June 30,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Critical Audit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described in Notes 2 and 13 to the consolidated financial statements, the Company recorded a provision for income taxes of $110.9 million for the year ended June 30, 2026. The Company’s provision for income taxes is calculated based on income and statutory tax rates in the various jurisdictions in which the Company operates and requires the use of management’s estimates and judgments. Management judgment is required in determining the Company’s worldwide provision for income taxes and recording the related assets and liabilities, including accruals for unrecognized tax benefits and assessing the need for valuation allowances on deferred tax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provision for income taxes is a critical audit matter are (i) a high degree of auditor effort in performing procedures and evaluating management’s provision for income taxes and the related assets and liabilities, including the accruals for unrecognized tax benefits, as well as management’s assessment of the need for valuation allowances on deferred tax assets and (ii) the audit effort involved the use of professionals with specialized skill and knowledge.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provision for income taxes, including controls over accruals for unrecognized tax benefits and valuation allowances on deferred tax assets. These procedures also included, among others (i) testing the accuracy of the provision for income taxes, which included the effective tax rate reconciliation and permanent and temporary differences, (ii) evaluating whether the data utilized in the calculations of the provision for income taxes and deferred tax assets and liabilities were appropriate and consistent with evidence obtained in other areas of the audit, (iii) evaluating the identification of accruals for unrecognized tax benefits and the reasonableness of the more likely than not determination in consideration of court decisions, legislative actions, statutes of limitations, and developments in tax examinations by jurisdiction, and (iv) evaluating the reasonableness of management’s assessment of the realizability of its deferred tax assets based on expectations of the ability to utilize its tax attributes through testing of historical and estimated future taxable income. Professionals with specialized skill and knowledge were used to assist in evaluating the reasonableness of management’s judgments and estimates related to the application of foreign and domestic tax laws and regulations.</w:t>
      </w:r>
    </w:p>
    <w:p>
      <w:pPr>
        <w:pStyle w:val="TextBody"/>
        <w:bidi w:val="0"/>
        <w:spacing w:before="12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Pittsburgh, Pennsylvania</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CONSOLIDATED STATEMENTS OF INCOME </w:t>
      </w:r>
    </w:p>
    <w:tbl>
      <w:tblPr>
        <w:tblW w:w="9297" w:type="dxa"/>
        <w:jc w:val="left"/>
        <w:tblInd w:w="0" w:type="dxa"/>
        <w:tblLayout w:type="fixed"/>
        <w:tblCellMar>
          <w:top w:w="28" w:type="dxa"/>
          <w:left w:w="28" w:type="dxa"/>
          <w:bottom w:w="28" w:type="dxa"/>
          <w:right w:w="28" w:type="dxa"/>
        </w:tblCellMar>
      </w:tblPr>
      <w:tblGrid>
        <w:gridCol w:w="1706"/>
        <w:gridCol w:w="1497"/>
        <w:gridCol w:w="1507"/>
        <w:gridCol w:w="211"/>
        <w:gridCol w:w="976"/>
        <w:gridCol w:w="109"/>
        <w:gridCol w:w="109"/>
        <w:gridCol w:w="109"/>
        <w:gridCol w:w="109"/>
        <w:gridCol w:w="211"/>
        <w:gridCol w:w="976"/>
        <w:gridCol w:w="109"/>
        <w:gridCol w:w="109"/>
        <w:gridCol w:w="109"/>
        <w:gridCol w:w="109"/>
        <w:gridCol w:w="211"/>
        <w:gridCol w:w="97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 except per share data)</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7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1,966,845 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969,956 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627,093 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(Note 13)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Kennametal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342,389 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109,323 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DATA ATTRIBUTABLE TO KENNAMETAL SHAREHOLDERS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2194"/>
        <w:gridCol w:w="1767"/>
        <w:gridCol w:w="177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194"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7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113,641 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derivatives designated and qualified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gain on expired derivatives designated and qualified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pension and other postretirement benefit plans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pension and other postretirement benefit plans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 net of tax</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(20,788)</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335,836 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92,853 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4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Kennametal Shareholders</w:t>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330,053 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89,076 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669"/>
        <w:gridCol w:w="2278"/>
        <w:gridCol w:w="2293"/>
        <w:gridCol w:w="211"/>
        <w:gridCol w:w="976"/>
        <w:gridCol w:w="109"/>
        <w:gridCol w:w="109"/>
        <w:gridCol w:w="109"/>
        <w:gridCol w:w="109"/>
        <w:gridCol w:w="211"/>
        <w:gridCol w:w="976"/>
        <w:gridCol w:w="155"/>
      </w:tblGrid>
      <w:tr>
        <w:trPr/>
        <w:tc>
          <w:tcPr>
            <w:tcW w:w="266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9"/>
              </w:rPr>
              <w:t>As of June 30 (in thousands, except per share data)</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2025</w:t>
            </w:r>
          </w:p>
        </w:tc>
      </w:tr>
      <w:tr>
        <w:trPr/>
        <w:tc>
          <w:tcPr>
            <w:tcW w:w="7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ASSETS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140,540 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Accounts receivable, less allowance for doubtful accounts of $8,812 and $8,819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295,401 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 (Note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1,108,450 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538,237 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1,771,771 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1,039,270 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w:t>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Land and buildings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440,187 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Machinery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2,014,787 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2,058,497 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(1,610,740)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(1,578,770)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plant and equipment, net</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843,584 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919,914 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assets: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Goodwill (Note 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282,726 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intangible assets, less accumulated amortization of $181,878 and $175,501, respectively (Note 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right-of-use assets (Note 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 (Note 13)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prepaid pension benefit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75,062 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assets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551,397 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586,228 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3,166,752 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2,545,412 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Revolving and other lines of credit and notes payable (Note 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Current operating lease liabilities (Note 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369,841 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195,929 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vacation pay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payroll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 (Note 10)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676,708 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422,329 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debt, less current maturities (Note 11)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596,788 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Operating lease liabilities (Note 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income taxes (Note 13)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postretirement benefits (Note 14)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pension benefits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Accrued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20,979 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w:t>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1,553,315 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1,220,764 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Commitments and contingencies (Note 20)</w:t>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EQUITY </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Kennametal 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Preferred stock, no par value; 5,000 shares authorized; none issued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Capital stock, $1.25 par value; 120,000 shares authorized; 76,213 and 76,012 shares issued,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373,902 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 (Note 15)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(386,693)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Kennametal Shareholders’ Equity</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1,569,844 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1,283,979 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1,613,437 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1,324,648 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equity</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3,166,752 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2,545,412 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4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197"/>
        <w:gridCol w:w="1929"/>
        <w:gridCol w:w="1941"/>
        <w:gridCol w:w="211"/>
        <w:gridCol w:w="826"/>
        <w:gridCol w:w="109"/>
        <w:gridCol w:w="109"/>
        <w:gridCol w:w="109"/>
        <w:gridCol w:w="109"/>
        <w:gridCol w:w="211"/>
        <w:gridCol w:w="826"/>
        <w:gridCol w:w="109"/>
        <w:gridCol w:w="109"/>
        <w:gridCol w:w="109"/>
        <w:gridCol w:w="109"/>
        <w:gridCol w:w="211"/>
        <w:gridCol w:w="826"/>
        <w:gridCol w:w="155"/>
      </w:tblGrid>
      <w:tr>
        <w:trPr/>
        <w:tc>
          <w:tcPr>
            <w:tcW w:w="219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0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cash from operations: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insurance 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refinancing charge (Note 11)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certain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and postretirement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for) provided by operating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277,108 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Disposals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divestiture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insurance recoveries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for investing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(71,295)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(109,426)</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revolving and other lines of credit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debt borrowings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debt repayments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capital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effect of employee benefit and stock plans and dividend reinvestment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to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provided by (used for) financing activities</w:t>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(141,747)</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year</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127,971 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SHAREHOLDERS' EQUITY</w:t>
      </w:r>
    </w:p>
    <w:tbl>
      <w:tblPr>
        <w:tblW w:w="10364" w:type="dxa"/>
        <w:jc w:val="left"/>
        <w:tblInd w:w="0" w:type="dxa"/>
        <w:tblLayout w:type="fixed"/>
        <w:tblCellMar>
          <w:top w:w="28" w:type="dxa"/>
          <w:left w:w="28" w:type="dxa"/>
          <w:bottom w:w="28" w:type="dxa"/>
          <w:right w:w="28" w:type="dxa"/>
        </w:tblCellMar>
      </w:tblPr>
      <w:tblGrid>
        <w:gridCol w:w="1287"/>
        <w:gridCol w:w="301"/>
        <w:gridCol w:w="303"/>
        <w:gridCol w:w="109"/>
        <w:gridCol w:w="360"/>
        <w:gridCol w:w="361"/>
        <w:gridCol w:w="211"/>
        <w:gridCol w:w="109"/>
        <w:gridCol w:w="109"/>
        <w:gridCol w:w="109"/>
        <w:gridCol w:w="211"/>
        <w:gridCol w:w="976"/>
        <w:gridCol w:w="109"/>
        <w:gridCol w:w="109"/>
        <w:gridCol w:w="109"/>
        <w:gridCol w:w="109"/>
        <w:gridCol w:w="360"/>
        <w:gridCol w:w="361"/>
        <w:gridCol w:w="211"/>
        <w:gridCol w:w="109"/>
        <w:gridCol w:w="109"/>
        <w:gridCol w:w="109"/>
        <w:gridCol w:w="211"/>
        <w:gridCol w:w="976"/>
        <w:gridCol w:w="109"/>
        <w:gridCol w:w="109"/>
        <w:gridCol w:w="109"/>
        <w:gridCol w:w="109"/>
        <w:gridCol w:w="360"/>
        <w:gridCol w:w="361"/>
        <w:gridCol w:w="211"/>
        <w:gridCol w:w="109"/>
        <w:gridCol w:w="109"/>
        <w:gridCol w:w="109"/>
        <w:gridCol w:w="211"/>
        <w:gridCol w:w="976"/>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9"/>
              </w:rPr>
            </w:pPr>
            <w:r>
              <w:rPr>
                <w:rFonts w:ascii="Times New Roman;serif" w:hAnsi="Times New Roman;serif"/>
                <w:b w:val="false"/>
                <w:color w:val="000000"/>
                <w:sz w:val="19"/>
              </w:rPr>
              <w:t>2024</w:t>
            </w:r>
          </w:p>
        </w:tc>
      </w:tr>
      <w:tr>
        <w:trPr/>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Year ended June 30 (in thousands)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Amount</w:t>
            </w:r>
          </w:p>
        </w:tc>
      </w:tr>
      <w:tr>
        <w:trPr/>
        <w:tc>
          <w:tcPr>
            <w:tcW w:w="18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STOCK</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76,012 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79,835 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 reinvestment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stock issued under employee benefit and stock plans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capital stock</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(2,498)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(2,602)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76,213 </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95,267 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76,012 </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77,889 </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97,361 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Dividend reinvestment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Capital stock issued under employee benefit and stock plans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capital stock</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390,310 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373,902 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416,620 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1,124,590 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attributable to Kennametal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109,323 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9"/>
              </w:rPr>
            </w:pPr>
            <w:r>
              <w:rPr>
                <w:rFonts w:ascii="Times New Roman;serif" w:hAnsi="Times New Roman;serif"/>
                <w:b w:val="false"/>
                <w:color w:val="000000"/>
                <w:sz w:val="19"/>
              </w:rPr>
              <w:t>Cash dividends ($0.80 per share in 2026, 2025 and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(63,431)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1,483,297 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1,201,755 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1,170,482 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(414,343)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Unrealized (loss) gain on derivatives designated and qualified as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Reclassification of unrealized gain on expired derivatives designated and qualified as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Unrecognized net pension and other postretirement benefit plans gain (loss) </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(10,100)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Reclassification of net pension and other postretirement benefit plans loss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(13,621)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8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income attributable to Kennametal, net of tax</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(12,337)</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47,895 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(20,245)</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(399,030)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(386,693)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(434,588)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dividends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Balance at end of year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43,593 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40,669 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38,724 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equity, June 30</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1,613,437 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1,324,648 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1,288,599 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 — NATURE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With more than 85 years of materials expertise, the Company is a global industrial technology leader, helping customers across the General Engineering, Transportation, Earthworks, Energy and Aerospace &amp; Defense end markets manufacture with precision and efficiency. This expertise includes the development and application of tungsten carbides, ceramics, super-hard materials and solutions used in metal cutting and extreme wear applications to keep customers up and running longer against conditions such as corrosion and high temperatures.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standard and custom product offering spans metal cutting and wear applications including turning, milling, hole making, tooling systems and services, as well as specialized wear components and metallurgical powders. End users of the Company's metal cutting products include manufacturers engaged in a diverse array of industries including: the manufacturers of transportation vehicles and components, machine tools and light and heavy machinery; airframe and aerospace components; and energy-related components for the oil and gas industry, as well as power generation. The Company’s wear and metallurgical powders are used by producers and suppliers in equipment-intensive operations such as road construction, mining, quarrying, oil and gas exploration, refining, production and supply, and for aerospace and defense.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specified, any reference to a “year” is to a fiscal year ended June 30. When used in this Annual Report, unless the context requires otherwise, the terms “we,” “our” and “us” refer to Kennametal Inc. and its subsidiaries.</w:t>
      </w:r>
    </w:p>
    <w:p>
      <w:pPr>
        <w:pStyle w:val="TextBody"/>
        <w:bidi w:val="0"/>
        <w:spacing w:lineRule="auto" w:line="288" w:before="12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2 — SUMMARY OF SIGNIFICANT ACCOUNTING POLICIES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summary of our significant accounting policies is presented below to assist in evaluating our consolidated financial statements.</w:t>
      </w:r>
    </w:p>
    <w:p>
      <w:pPr>
        <w:pStyle w:val="TextBody"/>
        <w:bidi w:val="0"/>
        <w:spacing w:lineRule="auto" w:line="288" w:before="120" w:after="283"/>
        <w:jc w:val="left"/>
        <w:rPr/>
      </w:pPr>
      <w:r>
        <w:rPr>
          <w:rFonts w:ascii="Times New Roman;serif" w:hAnsi="Times New Roman;serif"/>
          <w:b/>
          <w:color w:val="000000"/>
          <w:sz w:val="20"/>
        </w:rPr>
        <w:t>PRINCIPLES OF CONSOLIDATION</w:t>
      </w:r>
      <w:r>
        <w:rPr>
          <w:color w:val="000000"/>
        </w:rPr>
        <w:t xml:space="preserve"> </w:t>
      </w:r>
      <w:r>
        <w:rPr>
          <w:rFonts w:ascii="Times New Roman;serif" w:hAnsi="Times New Roman;serif"/>
          <w:b w:val="false"/>
          <w:color w:val="000000"/>
          <w:sz w:val="20"/>
        </w:rPr>
        <w:t xml:space="preserve">The consolidated financial statements include our accounts and those of our subsidiaries in which we have a controlling interest. All intercompany balances and transactions are eliminated. </w:t>
      </w:r>
    </w:p>
    <w:p>
      <w:pPr>
        <w:pStyle w:val="TextBody"/>
        <w:bidi w:val="0"/>
        <w:spacing w:lineRule="auto" w:line="288" w:before="120" w:after="283"/>
        <w:jc w:val="left"/>
        <w:rPr/>
      </w:pPr>
      <w:r>
        <w:rPr>
          <w:rFonts w:ascii="Times New Roman;serif" w:hAnsi="Times New Roman;serif"/>
          <w:b/>
          <w:color w:val="000000"/>
          <w:sz w:val="20"/>
        </w:rPr>
        <w:t>USE OF ESTIMATES IN THE PREPARATION OF FINANCIAL STATEMENTS</w:t>
      </w:r>
      <w:r>
        <w:rPr>
          <w:color w:val="000000"/>
        </w:rPr>
        <w:t xml:space="preserve"> </w:t>
      </w:r>
      <w:r>
        <w:rPr>
          <w:rFonts w:ascii="Times New Roman;serif" w:hAnsi="Times New Roman;serif"/>
          <w:b w:val="false"/>
          <w:color w:val="000000"/>
          <w:sz w:val="20"/>
        </w:rPr>
        <w:t xml:space="preserve">In preparing our consolidated financial statements in conformity with accounting principles generally accepted in the United States of America (U.S. GAAP), we make judgments and estimates about the amounts reflected in our consolidated financial statements. As part of our financial reporting process, our management collaborates to determine the necessary information on which to base our judgments and develop estimates used to prepare the consolidated financial statements. We use historical experience and available information to make these judgments and estimates. Actual amounts could differ from the estimates reflected in our consolidated financial statements. </w:t>
      </w:r>
    </w:p>
    <w:p>
      <w:pPr>
        <w:pStyle w:val="TextBody"/>
        <w:bidi w:val="0"/>
        <w:spacing w:lineRule="auto" w:line="288" w:before="120" w:after="283"/>
        <w:jc w:val="left"/>
        <w:rPr/>
      </w:pPr>
      <w:r>
        <w:rPr>
          <w:rFonts w:ascii="Times New Roman;serif" w:hAnsi="Times New Roman;serif"/>
          <w:b/>
          <w:color w:val="000000"/>
          <w:sz w:val="20"/>
        </w:rPr>
        <w:t>CASH AND CASH EQUIVALENTS</w:t>
      </w:r>
      <w:r>
        <w:rPr>
          <w:color w:val="000000"/>
        </w:rPr>
        <w:t xml:space="preserve"> </w:t>
      </w:r>
      <w:r>
        <w:rPr>
          <w:rFonts w:ascii="Times New Roman;serif" w:hAnsi="Times New Roman;serif"/>
          <w:b w:val="false"/>
          <w:color w:val="000000"/>
          <w:sz w:val="20"/>
        </w:rPr>
        <w:t>Cash investments having original maturities of three months or less are considered cash equivalents. Cash equivalents principally consist of investments in money market funds and bank deposits at June 30, 2026.</w:t>
      </w:r>
    </w:p>
    <w:p>
      <w:pPr>
        <w:pStyle w:val="TextBody"/>
        <w:bidi w:val="0"/>
        <w:spacing w:lineRule="auto" w:line="288" w:before="120" w:after="283"/>
        <w:jc w:val="left"/>
        <w:rPr/>
      </w:pPr>
      <w:r>
        <w:rPr>
          <w:rFonts w:ascii="Times New Roman;serif" w:hAnsi="Times New Roman;serif"/>
          <w:b/>
          <w:color w:val="000000"/>
          <w:sz w:val="20"/>
        </w:rPr>
        <w:t>ACCOUNTS RECEIVABLE</w:t>
      </w:r>
      <w:r>
        <w:rPr>
          <w:color w:val="000000"/>
        </w:rPr>
        <w:t xml:space="preserve"> </w:t>
      </w:r>
      <w:r>
        <w:rPr>
          <w:rFonts w:ascii="Times New Roman;serif" w:hAnsi="Times New Roman;serif"/>
          <w:b w:val="false"/>
          <w:color w:val="000000"/>
          <w:sz w:val="20"/>
        </w:rPr>
        <w:t xml:space="preserve">We market our products to a diverse customer base throughout the world. Trade credit is extended based upon periodically updated evaluations of each customer’s ability to satisfy its obligations. We record allowances for estimated losses resulting from the inability of our customers to make required payments. We assess the creditworthiness of our customers based on multiple sources of information and analyze additional factors such as our historical bad debt experience, industry concentrations of credit risk, current economic trends, changes in customer payment terms and forward-looking information. </w:t>
      </w:r>
    </w:p>
    <w:p>
      <w:pPr>
        <w:pStyle w:val="TextBody"/>
        <w:bidi w:val="0"/>
        <w:spacing w:lineRule="auto" w:line="288" w:before="120" w:after="283"/>
        <w:jc w:val="left"/>
        <w:rPr/>
      </w:pPr>
      <w:r>
        <w:rPr>
          <w:rFonts w:ascii="Times New Roman;serif" w:hAnsi="Times New Roman;serif"/>
          <w:b/>
          <w:color w:val="000000"/>
          <w:sz w:val="20"/>
        </w:rPr>
        <w:t>INVENTORIES</w:t>
      </w:r>
      <w:r>
        <w:rPr>
          <w:color w:val="000000"/>
        </w:rPr>
        <w:t xml:space="preserve"> </w:t>
      </w:r>
      <w:r>
        <w:rPr>
          <w:rFonts w:ascii="Times New Roman;serif" w:hAnsi="Times New Roman;serif"/>
          <w:b w:val="false"/>
          <w:color w:val="000000"/>
          <w:sz w:val="20"/>
        </w:rPr>
        <w:t xml:space="preserve">We use the last-in, first-out (LIFO) method for determining the cost of a significant portion of our United States (U.S.) inventories, and they are stated at the lower of cost or market. The cost of the remainder of our inventories is measured using approximate costs determined on the first-in, first-out basis or using the average cost method, and are stated at the lower of cost or net realizable value. When market conditions indicate an excess of carrying costs over market value, a lower of cost or net realizable value provision or a lower of cost or market provision, as applicable, is recorded. Once inventory is determined to be excess or obsolete, a new cost basis is established that is not subsequently written back up in future periods. </w:t>
      </w:r>
    </w:p>
    <w:p>
      <w:pPr>
        <w:pStyle w:val="TextBody"/>
        <w:bidi w:val="0"/>
        <w:spacing w:lineRule="auto" w:line="288" w:before="120" w:after="283"/>
        <w:jc w:val="left"/>
        <w:rPr/>
      </w:pPr>
      <w:r>
        <w:rPr>
          <w:rFonts w:ascii="Times New Roman;serif" w:hAnsi="Times New Roman;serif"/>
          <w:b/>
          <w:color w:val="000000"/>
          <w:sz w:val="20"/>
        </w:rPr>
        <w:t>PROPERTY, PLANT AND EQUIPMENT</w:t>
      </w:r>
      <w:r>
        <w:rPr>
          <w:color w:val="000000"/>
        </w:rPr>
        <w:t xml:space="preserve"> </w:t>
      </w:r>
      <w:r>
        <w:rPr>
          <w:rFonts w:ascii="Times New Roman;serif" w:hAnsi="Times New Roman;serif"/>
          <w:b w:val="false"/>
          <w:color w:val="000000"/>
          <w:sz w:val="20"/>
        </w:rPr>
        <w:t xml:space="preserve">Property, plant and equipment are carried at cost. Major improvements are capitalized, while maintenance and repairs are expensed as incurred. Retirements and disposals are removed from cost and accumulated depreciation accounts, with the gain or loss reflected in operating income. Interest related to the construction of major facilities is capitalized as part of the construction costs and is depreciated over the facilities' estimated useful lives.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Depreciation for financial reporting purposes is generally computed using the straight-line method over the following estimated useful lives: building and improvements over 15-40 years; machinery and equipment over 4-15 years; furniture and fixtures over 5-10 years and computer hardware and software over 3-7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LONG-LIVED ASSETS</w:t>
      </w:r>
      <w:r>
        <w:rPr>
          <w:color w:val="000000"/>
        </w:rPr>
        <w:t xml:space="preserve"> </w:t>
      </w:r>
      <w:r>
        <w:rPr>
          <w:rFonts w:ascii="Times New Roman;serif" w:hAnsi="Times New Roman;serif"/>
          <w:b w:val="false"/>
          <w:color w:val="000000"/>
          <w:sz w:val="20"/>
        </w:rPr>
        <w:t>We evaluate the recoverability of property, plant and equipment, operating lease right-of-use (ROU) assets and intangible assets that are amortized, whenever events or changes in circumstances indicate the carrying amount of any such assets may not be fully recoverable. Changes in circumstances include technological advances, changes in our business model, capital structure, economic conditions or operating performance. Our evaluation is performed at the asset group level, based upon, among other things, our assumptions about the estimated future undiscounted cash flows these assets are expected to generate. When the sum of the undiscounted cash flows is less than the carrying value, we will recognize an impairment loss to the extent that carrying value exceeds fair value. We apply our best judgment when performing these evaluations to determine if a triggering event has occurred, the undiscounted cash flows used to assess recoverability and the fair value of the asset group.</w:t>
      </w:r>
    </w:p>
    <w:p>
      <w:pPr>
        <w:pStyle w:val="TextBody"/>
        <w:bidi w:val="0"/>
        <w:spacing w:lineRule="auto" w:line="288" w:before="120" w:after="283"/>
        <w:jc w:val="left"/>
        <w:rPr/>
      </w:pPr>
      <w:r>
        <w:rPr>
          <w:rFonts w:ascii="Times New Roman;serif" w:hAnsi="Times New Roman;serif"/>
          <w:b/>
          <w:color w:val="000000"/>
          <w:sz w:val="20"/>
        </w:rPr>
        <w:t xml:space="preserve">GOODWILL AND OTHER INTANGIBLE ASSETS </w:t>
      </w:r>
      <w:r>
        <w:rPr>
          <w:rFonts w:ascii="Times New Roman;serif" w:hAnsi="Times New Roman;serif"/>
          <w:b w:val="false"/>
          <w:color w:val="000000"/>
          <w:sz w:val="20"/>
        </w:rPr>
        <w:t xml:space="preserve">Goodwill represents the excess of cost over the fair value of the net assets of acquired companies. Goodwill is tested at least annually for impairment. We perform our annual impairment test during the June quarter in connection with our annual planning process unless there are impairment indicators that warrant a test prior to that quarter. As of June 30, 2026, only the Metal Cutting reporting unit has goodwill recorded. We completed annual tests of goodwill impairment and recorded no impairments during 2026, 2025 or 2024 for our Metal Cutting reporting unit. We can use a qualitative test, known as "Step 0," or a quantitative method to determine whether impairment has occurred. In 2026 and 2024, we elected to perform Step 0 and were not required to conduct the quantitative analysis. In 2025, we performed a quantitative "Step 1" analysis using a combination of a discounted cash flow analysis and market multiples based upon historical and projected financial information. We apply our best judgment when assessing the reasonableness of the assumptions used to determine the fair value of the reporting unit.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intangible assets with definite lives are amortized on a straight-line basis, while certain customer-related intangible assets are amortized on an accelerated method. Identifiable assets with finite lives are reviewed for impairment when events or circumstances indicate that the carrying value may not be recoverable.</w:t>
      </w:r>
    </w:p>
    <w:p>
      <w:pPr>
        <w:pStyle w:val="TextBody"/>
        <w:bidi w:val="0"/>
        <w:spacing w:lineRule="auto" w:line="288" w:before="120" w:after="283"/>
        <w:jc w:val="left"/>
        <w:rPr/>
      </w:pPr>
      <w:r>
        <w:rPr>
          <w:rFonts w:ascii="Times New Roman;serif" w:hAnsi="Times New Roman;serif"/>
          <w:b/>
          <w:color w:val="000000"/>
          <w:sz w:val="20"/>
        </w:rPr>
        <w:t>PENSION AND OTHER POSTRETIREMENT BENEFITS</w:t>
      </w:r>
      <w:r>
        <w:rPr>
          <w:color w:val="000000"/>
        </w:rPr>
        <w:t xml:space="preserve"> </w:t>
      </w:r>
      <w:r>
        <w:rPr>
          <w:rFonts w:ascii="Times New Roman;serif" w:hAnsi="Times New Roman;serif"/>
          <w:b w:val="false"/>
          <w:color w:val="000000"/>
          <w:sz w:val="20"/>
        </w:rPr>
        <w:t>We sponsor these types of benefit plans for certain employees and retirees. Accounting for the cost of these plans requires the estimation of the cost of the benefits to be provided well into the future and attributing that cost over either the expected work life of employees or over the average life of participants participating in these plans, depending on plan status and on participant population. This estimation requires our judgment about the discount rate used to determine these obligations, expected return on plan assets, rate of future compensation increases, withdrawal and mortality rates and participant retirement age. Differences between our estimates and actual results may significantly affect the cost of our obligations under these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valuation of our pension and other postretirement benefit liabilities, management utilizes various assumptions. Discount rates are derived by identifying a theoretical settlement portfolio of high quality corporate bonds sufficient to provide for a plan’s projected benefit payments. This rate can fluctuate based on changes in the corporate bond yields.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long-term rate of return on plan assets is estimated based on an evaluation of historical returns for each asset category held by the plans, coupled with the current and short-term mix of the investment portfolio. The historical returns are adjusted for expected future market and economic changes. This return will fluctuate based on actual market returns and other economic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Future compensation rates, withdrawal rates and participant retirement age are determined based on historical information. These assumptions are not expected to significantly change. Mortality rates are determined based on a review of published mortality tables.</w:t>
      </w:r>
    </w:p>
    <w:p>
      <w:pPr>
        <w:pStyle w:val="TextBody"/>
        <w:bidi w:val="0"/>
        <w:spacing w:lineRule="auto" w:line="288" w:before="120" w:after="283"/>
        <w:jc w:val="left"/>
        <w:rPr/>
      </w:pPr>
      <w:r>
        <w:rPr>
          <w:rFonts w:ascii="Times New Roman;serif" w:hAnsi="Times New Roman;serif"/>
          <w:b/>
          <w:color w:val="000000"/>
          <w:sz w:val="20"/>
        </w:rPr>
        <w:t xml:space="preserve">EARNINGS PER SHARE </w:t>
      </w:r>
      <w:r>
        <w:rPr>
          <w:rFonts w:ascii="Times New Roman;serif" w:hAnsi="Times New Roman;serif"/>
          <w:b w:val="false"/>
          <w:color w:val="000000"/>
          <w:sz w:val="20"/>
        </w:rPr>
        <w:t>Basic earnings per share is computed using the weighted average number of shares outstanding during the period, while diluted earnings per share is calculated to reflect the potential dilution that would occur related to the issuance of capital stock under stock option grants, performance awards and restricted stock units. The difference between basic and diluted earnings per share relates solely to the effect of capital stock options, performance awards and restricted stock units.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the computation of diluted shares outstanding:</w:t>
      </w:r>
    </w:p>
    <w:tbl>
      <w:tblPr>
        <w:tblW w:w="10205" w:type="dxa"/>
        <w:jc w:val="left"/>
        <w:tblInd w:w="0" w:type="dxa"/>
        <w:tblLayout w:type="fixed"/>
        <w:tblCellMar>
          <w:top w:w="28" w:type="dxa"/>
          <w:left w:w="28" w:type="dxa"/>
          <w:bottom w:w="28" w:type="dxa"/>
          <w:right w:w="28" w:type="dxa"/>
        </w:tblCellMar>
      </w:tblPr>
      <w:tblGrid>
        <w:gridCol w:w="2456"/>
        <w:gridCol w:w="2162"/>
        <w:gridCol w:w="2180"/>
        <w:gridCol w:w="360"/>
        <w:gridCol w:w="361"/>
        <w:gridCol w:w="176"/>
        <w:gridCol w:w="109"/>
        <w:gridCol w:w="109"/>
        <w:gridCol w:w="109"/>
        <w:gridCol w:w="360"/>
        <w:gridCol w:w="361"/>
        <w:gridCol w:w="176"/>
        <w:gridCol w:w="109"/>
        <w:gridCol w:w="109"/>
        <w:gridCol w:w="109"/>
        <w:gridCol w:w="360"/>
        <w:gridCol w:w="361"/>
        <w:gridCol w:w="238"/>
      </w:tblGrid>
      <w:tr>
        <w:trPr/>
        <w:tc>
          <w:tcPr>
            <w:tcW w:w="245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79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during period</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76,215 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77,264 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79,390 </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Unexercised stock options and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Number of shares on which diluted earnings per share is calculated</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77,424 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77,894 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79,965 </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Unexercised stock options with an exercise price greater than the average market price and restricted stock units not included in the computation because they were anti-dilutive</w:t>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REVENUE RECOGNITION</w:t>
      </w:r>
      <w:r>
        <w:rPr>
          <w:color w:val="000000"/>
        </w:rPr>
        <w:t xml:space="preserve"> </w:t>
      </w:r>
      <w:r>
        <w:rPr>
          <w:rFonts w:ascii="Times New Roman;serif" w:hAnsi="Times New Roman;serif"/>
          <w:b w:val="false"/>
          <w:color w:val="000000"/>
          <w:sz w:val="20"/>
        </w:rPr>
        <w:t>The Company's contracts with customers are comprised of purchase orders, and for larger customers, may also include long-term agreements. We account for a contract when it has approval and commitment from both parties, the rights of the parties and payment terms are identified, the contract has commercial substance and collectability of consideration is probable. These contracts with customers typically relate to the manufacturing of products, which represent single performance obligations that are satisfied when control of the product passes to the customer. The Company considers the timing of right to payment, transfer of risk and rewards, transfer of title, transfer of physical possession and customer acceptance when determining when control transfers to the customer. As a result, revenue is generally recognized at a point in time - either upon shipment or delivery - based on the specific shipping terms in the contract. The shipping terms vary across all businesses and depend on the product, customary local commercial terms and the type of transportation. Shipping and handling activities are accounted for as activities to fulfill a promise to transfer a product to a customer and as such, costs incurred are recorded when the related revenue is recognized. Payment for products is due within a limited time period after shipment or delivery, typically within 30 to 90 calendar days of the respective invoice dates. The Company does not generally offer extended payment terms.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is measured as the amount of consideration we expect to receive in exchange for transferring goods. Amounts billed and due from our customers are classified as accounts receivable, less allowance for doubtful accounts on the consolidated balance sheets. Certain contracts with customers, primarily distributor customers, have an element of variable consideration that is estimated when revenue is recognized under the contract. Variable consideration primarily includes volume incentive rebates, which are based on achieving a certain level of purchases and other performance criteria as established by our distributor programs. These rebates are estimated based on projected sales to the customer and accrued as a reduction of net sales as they are earned. The majority of our products are consumed by our customers or end users in the manufacture of their products. Historically, we have experienced very low levels of returned products and do not consider the effect of returned products to be material. We have recorded an estimated returned goods allowance to provide for any potential returns.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warrant that products sold are free from defects in material and workmanship under normal use and service when correctly installed, used and maintained. This warranty terminates 30 days after delivery of the product to the customer and does not apply to products that have been subjected to misuse, abuse, neglect or improper storage, handling or maintenance. Products may be returned to Kennametal only after inspection and approval by Kennametal and upon receipt by the customer of shipping instructions from Kennametal. We have included an estimated allowance for warranty returns in our returned goods allowance discussed above.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 contract asset when it has a right to payment from a customer that is conditioned on events that have occurred other than the passage of time. The Company also records a contract liability when customers prepay but the Company has not yet satisfied its performance obligation. The Company did not have any material remaining performance obligations, contract assets or liabilities as of June 30, 2026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pays sales commissions related to certain contracts, which qualify as incremental costs of obtaining a contract. However, the Company applies the practical expedient that allows an entity to recognize incremental costs of obtaining a contract as an expense when incurred if the amortization period of the asset that would have been recognized is one year or less. These costs are recorded within operating expense in our consolidated statements of income.</w:t>
      </w:r>
    </w:p>
    <w:p>
      <w:pPr>
        <w:pStyle w:val="TextBody"/>
        <w:bidi w:val="0"/>
        <w:spacing w:lineRule="auto" w:line="288" w:before="120" w:after="283"/>
        <w:jc w:val="left"/>
        <w:rPr/>
      </w:pPr>
      <w:r>
        <w:rPr>
          <w:rFonts w:ascii="Times New Roman;serif" w:hAnsi="Times New Roman;serif"/>
          <w:b/>
          <w:color w:val="000000"/>
          <w:sz w:val="20"/>
        </w:rPr>
        <w:t>SHIPPING AND HANDLING FEES AND COSTS</w:t>
      </w:r>
      <w:r>
        <w:rPr>
          <w:color w:val="000000"/>
        </w:rPr>
        <w:t xml:space="preserve"> </w:t>
      </w:r>
      <w:r>
        <w:rPr>
          <w:rFonts w:ascii="Times New Roman;serif" w:hAnsi="Times New Roman;serif"/>
          <w:b w:val="false"/>
          <w:color w:val="000000"/>
          <w:sz w:val="20"/>
        </w:rPr>
        <w:t>All fees billed to customers for shipping and handling are classified as a component of sales. All costs associated with shipping and handling are classified as a component of cost of goods sold.</w:t>
      </w:r>
    </w:p>
    <w:p>
      <w:pPr>
        <w:pStyle w:val="TextBody"/>
        <w:bidi w:val="0"/>
        <w:spacing w:lineRule="auto" w:line="288" w:before="120" w:after="283"/>
        <w:jc w:val="left"/>
        <w:rPr/>
      </w:pPr>
      <w:r>
        <w:rPr>
          <w:rFonts w:ascii="Times New Roman;serif" w:hAnsi="Times New Roman;serif"/>
          <w:b/>
          <w:color w:val="000000"/>
          <w:sz w:val="20"/>
        </w:rPr>
        <w:t>STOCK-BASED COMPENSATION</w:t>
      </w:r>
      <w:r>
        <w:rPr>
          <w:color w:val="000000"/>
        </w:rPr>
        <w:t xml:space="preserve"> </w:t>
      </w:r>
      <w:r>
        <w:rPr>
          <w:rFonts w:ascii="Times New Roman;serif" w:hAnsi="Times New Roman;serif"/>
          <w:b w:val="false"/>
          <w:color w:val="000000"/>
          <w:sz w:val="20"/>
        </w:rPr>
        <w:t>We recognize stock-based compensation expense for all stock options, restricted stock awards and restricted stock units over the period from the date of grant to the date when the award is no longer contingent on the employee providing additional service (substantive vesting period). Forfeitures are recorded as incurred. We utilize the Black-Scholes valuation method to establish the fair value of all stock option awards. Time vesting stock units are valued at the market value of the stock on the grant date. Performance vesting stock units with a market condition are valued using a Monte Carlo model.</w:t>
      </w:r>
    </w:p>
    <w:p>
      <w:pPr>
        <w:pStyle w:val="TextBody"/>
        <w:bidi w:val="0"/>
        <w:spacing w:lineRule="auto" w:line="288" w:before="120" w:after="283"/>
        <w:jc w:val="left"/>
        <w:rPr/>
      </w:pPr>
      <w:r>
        <w:rPr>
          <w:rFonts w:ascii="Times New Roman;serif" w:hAnsi="Times New Roman;serif"/>
          <w:b/>
          <w:color w:val="000000"/>
          <w:sz w:val="20"/>
        </w:rPr>
        <w:t>RESEARCH AND DEVELOPMENT COSTS</w:t>
      </w:r>
      <w:r>
        <w:rPr>
          <w:color w:val="000000"/>
        </w:rPr>
        <w:t xml:space="preserve"> </w:t>
      </w:r>
      <w:r>
        <w:rPr>
          <w:rFonts w:ascii="Times New Roman;serif" w:hAnsi="Times New Roman;serif"/>
          <w:b w:val="false"/>
          <w:color w:val="000000"/>
          <w:sz w:val="20"/>
        </w:rPr>
        <w:t>Research and development costs of $43.2 million, $44.4 million and $44.2 million in 2026, 2025 and 2024, respectively, were expensed as incurred. These costs are included in operating expense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 xml:space="preserve">INCOME TAXES </w:t>
      </w:r>
      <w:r>
        <w:rPr>
          <w:rFonts w:ascii="Times New Roman;serif" w:hAnsi="Times New Roman;serif"/>
          <w:b w:val="false"/>
          <w:color w:val="000000"/>
          <w:sz w:val="20"/>
        </w:rPr>
        <w:t>The Company’s provision for income taxes is calculated based on income and statutory tax rates in the various jurisdictions in which the Company operates and requires the use of management’s estimates and judgments. Management judgment is required in determining the Company’s worldwide provision for income taxes and recording the related assets and liabilities, including accruals for unrecognized tax benefits and assessing the need for valuation allowances on deferred tax assets. Deferred income taxes are recognized based on the future income tax effects (using enacted tax laws and rates) of differences in the carrying amounts of assets and liabilities for financial reporting and tax purposes. Valuation allowances are recorded to reduce deferred tax assets when it is more likely than not (greater than 50 percent) that a tax benefit will not be realized. In evaluating the need for a valuation allowance, we consider all potential sources of taxable income, including income available in carryback periods, future reversals of taxable temporary differences, projections of taxable income, and income from tax planning strategies, as well as all available positive and negative evidence. Positive evidence includes factors such as a history of profitable operations, and projections of future profitability within the carry forward period, including taxable income from tax planning strategies. Negative evidence includes items such as cumulative losses, projections of future losses, or carryforward periods that are not long enough to allow for the utilization of the deferred tax asset based on existing projections of income. Upon changes in facts and circumstances, we may conclude that deferred tax assets for which no valuation allowance is currently recorded may not be realized, resulting in a charge to establish a valuation allowance. Existing valuation allowances are re-examined under the same standards of positive and negative evidence. If it is determined that it is more likely than not that a deferred tax asset will be realized, the appropriate amount of the valuation allowance, if any, is released.</w:t>
      </w:r>
    </w:p>
    <w:p>
      <w:pPr>
        <w:pStyle w:val="TextBody"/>
        <w:bidi w:val="0"/>
        <w:spacing w:lineRule="auto" w:line="288" w:before="120" w:after="283"/>
        <w:jc w:val="left"/>
        <w:rPr/>
      </w:pPr>
      <w:r>
        <w:rPr>
          <w:rFonts w:ascii="Times New Roman;serif" w:hAnsi="Times New Roman;serif"/>
          <w:b/>
          <w:color w:val="000000"/>
          <w:sz w:val="20"/>
        </w:rPr>
        <w:t>DERIVATIVE INSTRUMENTS AND HEDGING ACTIVITIES</w:t>
      </w:r>
      <w:r>
        <w:rPr>
          <w:color w:val="000000"/>
        </w:rPr>
        <w:t xml:space="preserve"> </w:t>
      </w:r>
      <w:r>
        <w:rPr>
          <w:rFonts w:ascii="Times New Roman;serif" w:hAnsi="Times New Roman;serif"/>
          <w:b w:val="false"/>
          <w:color w:val="000000"/>
          <w:sz w:val="20"/>
        </w:rPr>
        <w:t xml:space="preserve">As part of our financial risk management program, we use certain derivative financial instruments. We do not enter into derivative transactions for speculative purposes and, therefore, hold no derivative instruments for trading purposes. We use derivative financial instruments to provide predictability to the effects of changes in foreign exchange rates on our consolidated results. Our objective in managing foreign exchange exposures with derivative instruments is to reduce volatility in cash flow, allowing us to focus more of our attention on business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derivative instruments as a hedge of the related asset, liability, firm commitment or anticipated transaction, when the derivative is specifically designated as a hedge of such items. We measure hedge effectiveness by assessing the changes in the fair value or expected future cash flows of the hedged item. Certain currency forward contracts hedging significant cross-border intercompany loans are considered other derivatives and, therefore, do not qualify for hedge accounting. </w:t>
      </w:r>
    </w:p>
    <w:p>
      <w:pPr>
        <w:pStyle w:val="TextBody"/>
        <w:bidi w:val="0"/>
        <w:spacing w:lineRule="auto" w:line="288" w:before="120" w:after="283"/>
        <w:jc w:val="left"/>
        <w:rPr/>
      </w:pPr>
      <w:r>
        <w:rPr>
          <w:rFonts w:ascii="Times New Roman;serif" w:hAnsi="Times New Roman;serif"/>
          <w:b/>
          <w:color w:val="000000"/>
          <w:sz w:val="20"/>
        </w:rPr>
        <w:t xml:space="preserve">CASH FLOW HEDGES </w:t>
      </w:r>
      <w:r>
        <w:rPr>
          <w:rFonts w:ascii="Times New Roman;serif" w:hAnsi="Times New Roman;serif"/>
          <w:b w:val="false"/>
          <w:color w:val="000000"/>
          <w:sz w:val="20"/>
        </w:rPr>
        <w:t>Range forward contracts (a transaction where both a put option is purchased and a call option is sold) are designated as cash flow hedges and hedge anticipated cash flows from cross-border intercompany sales of products and services. Gains and losses realized on these contracts are recorded in accumulated other comprehensive loss, and are recognized as a component of cost of goods sold when the underlying sale of products or services is recognized into earnings.</w:t>
      </w:r>
    </w:p>
    <w:p>
      <w:pPr>
        <w:pStyle w:val="TextBody"/>
        <w:bidi w:val="0"/>
        <w:spacing w:lineRule="auto" w:line="288" w:before="120" w:after="283"/>
        <w:jc w:val="left"/>
        <w:rPr/>
      </w:pPr>
      <w:r>
        <w:rPr>
          <w:rFonts w:ascii="Times New Roman;serif" w:hAnsi="Times New Roman;serif"/>
          <w:b/>
          <w:color w:val="000000"/>
          <w:sz w:val="20"/>
        </w:rPr>
        <w:t>NET INVESTMENT HEDGES</w:t>
      </w:r>
      <w:r>
        <w:rPr>
          <w:color w:val="000000"/>
        </w:rPr>
        <w:t xml:space="preserve"> </w:t>
      </w:r>
      <w:r>
        <w:rPr>
          <w:rFonts w:ascii="Times New Roman;serif" w:hAnsi="Times New Roman;serif"/>
          <w:b w:val="false"/>
          <w:color w:val="000000"/>
          <w:sz w:val="20"/>
        </w:rPr>
        <w:t>We designate financial instruments as net investment hedges from time to time to hedge the foreign exchange exposure of our net investment in foreign currency-based subsidiaries. The remeasurements of these non-derivatives designated as net investment hedges are calculated each period with changes reported in foreign currency translation adjustment within accumulated other comprehensive loss. Such amounts will remain in accumulated other comprehensive loss unless we complete or substantially complete liquidation or disposal of our investment in the underlying foreign operations.</w:t>
      </w:r>
    </w:p>
    <w:p>
      <w:pPr>
        <w:pStyle w:val="TextBody"/>
        <w:bidi w:val="0"/>
        <w:spacing w:lineRule="auto" w:line="288" w:before="120" w:after="283"/>
        <w:jc w:val="left"/>
        <w:rPr/>
      </w:pPr>
      <w:r>
        <w:rPr>
          <w:rFonts w:ascii="Times New Roman;serif" w:hAnsi="Times New Roman;serif"/>
          <w:b/>
          <w:color w:val="000000"/>
          <w:sz w:val="20"/>
        </w:rPr>
        <w:t>CURRENCY TRANSLATION</w:t>
      </w:r>
      <w:r>
        <w:rPr>
          <w:color w:val="000000"/>
        </w:rPr>
        <w:t xml:space="preserve"> </w:t>
      </w:r>
      <w:r>
        <w:rPr>
          <w:rFonts w:ascii="Times New Roman;serif" w:hAnsi="Times New Roman;serif"/>
          <w:b w:val="false"/>
          <w:color w:val="000000"/>
          <w:sz w:val="20"/>
        </w:rPr>
        <w:t>Assets and liabilities of international operations are translated into U.S. dollars using year-end exchange rates, while revenues and expenses are translated at average exchange rates throughout the year. The resulting net translation adjustments are recorded as a component of accumulated other comprehensive loss. The local currency is the functional currency of most of our locations.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Losses of $1.6 million, $1.3 million and $4.1 million from currency transactions were included in other income, net in 2026, 2025 and 2024, respectively.</w:t>
      </w:r>
    </w:p>
    <w:p>
      <w:pPr>
        <w:pStyle w:val="TextBody"/>
        <w:bidi w:val="0"/>
        <w:spacing w:lineRule="auto" w:line="288" w:before="120" w:after="283"/>
        <w:jc w:val="left"/>
        <w:rPr/>
      </w:pPr>
      <w:r>
        <w:rPr>
          <w:rFonts w:ascii="Times New Roman;serif" w:hAnsi="Times New Roman;serif"/>
          <w:b/>
          <w:color w:val="000000"/>
          <w:sz w:val="20"/>
        </w:rPr>
        <w:t>TARIFFS</w:t>
      </w:r>
      <w:r>
        <w:rPr>
          <w:color w:val="000000"/>
        </w:rPr>
        <w:t xml:space="preserve"> </w:t>
      </w:r>
      <w:r>
        <w:rPr>
          <w:rFonts w:ascii="Times New Roman;serif" w:hAnsi="Times New Roman;serif"/>
          <w:b w:val="false"/>
          <w:color w:val="000000"/>
          <w:sz w:val="20"/>
        </w:rPr>
        <w:t>The Company is monitoring developments related to certain tariffs imposed under the International Emergency Economic Powers Act (IEEPA) that may result in future refunds of previously paid tariffs. Any potential recoveries are accounted for as gain contingencies and will not be recognized until realized or otherwise deemed realizable. As of June 30, 2026, refunds received were not material, and the Company had not recorded any related receivables. The Company has not recorded any liabilities associated with potential tariff recoveries, as any refunds received are expected to be reinvested in the business and no obligation to reimburse customers existed as of June 30, 2026. Any future recoveries will be recognized when the applicable accounting criteria is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3 — SUPPLEMENTAL CASH FLOW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including cash paid for income taxes presented in accordance with the guidance in ASU 2023-09, is as follows for the year ended June 30, 2026:</w:t>
      </w:r>
    </w:p>
    <w:tbl>
      <w:tblPr>
        <w:tblW w:w="8268" w:type="dxa"/>
        <w:jc w:val="left"/>
        <w:tblInd w:w="0" w:type="dxa"/>
        <w:tblLayout w:type="fixed"/>
        <w:tblCellMar>
          <w:top w:w="28" w:type="dxa"/>
          <w:left w:w="28" w:type="dxa"/>
          <w:bottom w:w="28" w:type="dxa"/>
          <w:right w:w="28" w:type="dxa"/>
        </w:tblCellMar>
      </w:tblPr>
      <w:tblGrid>
        <w:gridCol w:w="2478"/>
        <w:gridCol w:w="2182"/>
        <w:gridCol w:w="2195"/>
        <w:gridCol w:w="109"/>
        <w:gridCol w:w="109"/>
        <w:gridCol w:w="109"/>
        <w:gridCol w:w="211"/>
        <w:gridCol w:w="721"/>
        <w:gridCol w:w="154"/>
      </w:tblGrid>
      <w:tr>
        <w:trPr/>
        <w:tc>
          <w:tcPr>
            <w:tcW w:w="247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6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Bolivia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information: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payable related to purchases of property, plant and equipment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including cash paid for income taxes presented prior to the adoption of the guidance in ASU 2023-09, is as follows for the years ended June 30, 2025 and 2024:</w:t>
      </w:r>
    </w:p>
    <w:tbl>
      <w:tblPr>
        <w:tblW w:w="9793" w:type="dxa"/>
        <w:jc w:val="left"/>
        <w:tblInd w:w="0" w:type="dxa"/>
        <w:tblLayout w:type="fixed"/>
        <w:tblCellMar>
          <w:top w:w="28" w:type="dxa"/>
          <w:left w:w="28" w:type="dxa"/>
          <w:bottom w:w="28" w:type="dxa"/>
          <w:right w:w="28" w:type="dxa"/>
        </w:tblCellMar>
      </w:tblPr>
      <w:tblGrid>
        <w:gridCol w:w="2478"/>
        <w:gridCol w:w="2182"/>
        <w:gridCol w:w="2195"/>
        <w:gridCol w:w="109"/>
        <w:gridCol w:w="109"/>
        <w:gridCol w:w="109"/>
        <w:gridCol w:w="211"/>
        <w:gridCol w:w="721"/>
        <w:gridCol w:w="109"/>
        <w:gridCol w:w="109"/>
        <w:gridCol w:w="109"/>
        <w:gridCol w:w="109"/>
        <w:gridCol w:w="211"/>
        <w:gridCol w:w="721"/>
        <w:gridCol w:w="311"/>
      </w:tblGrid>
      <w:tr>
        <w:trPr/>
        <w:tc>
          <w:tcPr>
            <w:tcW w:w="2478"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8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payable related to purchases of property, plant and equipment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(4,497)</w:t>
            </w:r>
          </w:p>
        </w:tc>
        <w:tc>
          <w:tcPr>
            <w:tcW w:w="3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4 —SUPPLIER FINANCE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 supplier finance program managed through two global financial institutions under which we agree to pay the financial institutions the stated amount of confirmed invoices from our participating suppliers on the invoice due date. We, or the global financial institutions, may terminate our agreements at any time upon 30 days written notice. We do not provide any forms of guarantees under these agreements. Supplier participation in the program is solely up to the supplier. We have no economic interest in a supplier’s decision to participate in the program, and their participation has no bearing on our payment terms or amounts due. The payment terms that we have with our suppliers under this program are considered commercially reasonable. As of June 30, 2026 and 2025, the obligations outstanding that the Company has confirmed as valid to the financial institutions under the program were $96.8 million and $17.3 million, respectively, and were recorded within trade accounts payable. Obligations outstanding under the supplier finance program increased during 2026 primarily due to higher purchasing activity as well as an increase in the program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rollforward table indicates the Company's outstanding obligations under the supplier finance program for the year ended June 30, 2026: </w:t>
      </w:r>
    </w:p>
    <w:tbl>
      <w:tblPr>
        <w:tblW w:w="6395" w:type="dxa"/>
        <w:jc w:val="left"/>
        <w:tblInd w:w="0" w:type="dxa"/>
        <w:tblLayout w:type="fixed"/>
        <w:tblCellMar>
          <w:top w:w="28" w:type="dxa"/>
          <w:left w:w="28" w:type="dxa"/>
          <w:bottom w:w="28" w:type="dxa"/>
          <w:right w:w="28" w:type="dxa"/>
        </w:tblCellMar>
      </w:tblPr>
      <w:tblGrid>
        <w:gridCol w:w="1919"/>
        <w:gridCol w:w="1690"/>
        <w:gridCol w:w="1700"/>
        <w:gridCol w:w="211"/>
        <w:gridCol w:w="721"/>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53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Confirmed obligations outstanding at the beginning of the year </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confirmed during the year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invoices paid during the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Confirmed obligations outstanding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5 — 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fair value hierarchy consists of three levels to prioritize the inputs used in valuations, as defined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Unadjusted quoted prices in active markets that are accessible at the measurement date for identical, unrestricted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3: Inputs that are unobservable.</w:t>
      </w:r>
    </w:p>
    <w:p>
      <w:pPr>
        <w:pStyle w:val="TextBody"/>
        <w:bidi w:val="0"/>
        <w:spacing w:lineRule="auto" w:line="288" w:before="120" w:after="283"/>
        <w:jc w:val="left"/>
        <w:rPr/>
      </w:pPr>
      <w:r>
        <w:rPr>
          <w:rFonts w:ascii="Times New Roman;serif" w:hAnsi="Times New Roman;serif"/>
          <w:b w:val="false"/>
          <w:color w:val="000000"/>
          <w:sz w:val="20"/>
        </w:rPr>
        <w:t>As of June 30, 2026, the fair values of the Company’s financial assets and financial liabilities measured at fair value on a recurring basis are categorized as follows:</w:t>
      </w:r>
      <w:r>
        <w:rPr>
          <w:color w:val="000000"/>
        </w:rPr>
        <w:t> </w:t>
      </w:r>
    </w:p>
    <w:tbl>
      <w:tblPr>
        <w:tblW w:w="6434" w:type="dxa"/>
        <w:jc w:val="left"/>
        <w:tblInd w:w="0" w:type="dxa"/>
        <w:tblLayout w:type="fixed"/>
        <w:tblCellMar>
          <w:top w:w="28" w:type="dxa"/>
          <w:left w:w="28" w:type="dxa"/>
          <w:bottom w:w="28" w:type="dxa"/>
          <w:right w:w="28" w:type="dxa"/>
        </w:tblCellMar>
      </w:tblPr>
      <w:tblGrid>
        <w:gridCol w:w="862"/>
        <w:gridCol w:w="759"/>
        <w:gridCol w:w="763"/>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11"/>
        <w:gridCol w:w="46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Derivatives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Derivatives</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fair value of the Company’s financial assets and financial liabilities measured at fair value on a recurring basis are categorized as follows:</w:t>
      </w:r>
    </w:p>
    <w:tbl>
      <w:tblPr>
        <w:tblW w:w="6264" w:type="dxa"/>
        <w:jc w:val="left"/>
        <w:tblInd w:w="0" w:type="dxa"/>
        <w:tblLayout w:type="fixed"/>
        <w:tblCellMar>
          <w:top w:w="28" w:type="dxa"/>
          <w:left w:w="28" w:type="dxa"/>
          <w:bottom w:w="28" w:type="dxa"/>
          <w:right w:w="28" w:type="dxa"/>
        </w:tblCellMar>
      </w:tblPr>
      <w:tblGrid>
        <w:gridCol w:w="862"/>
        <w:gridCol w:w="759"/>
        <w:gridCol w:w="763"/>
        <w:gridCol w:w="211"/>
        <w:gridCol w:w="406"/>
        <w:gridCol w:w="109"/>
        <w:gridCol w:w="109"/>
        <w:gridCol w:w="109"/>
        <w:gridCol w:w="109"/>
        <w:gridCol w:w="223"/>
        <w:gridCol w:w="382"/>
        <w:gridCol w:w="116"/>
        <w:gridCol w:w="109"/>
        <w:gridCol w:w="109"/>
        <w:gridCol w:w="109"/>
        <w:gridCol w:w="211"/>
        <w:gridCol w:w="406"/>
        <w:gridCol w:w="109"/>
        <w:gridCol w:w="109"/>
        <w:gridCol w:w="109"/>
        <w:gridCol w:w="109"/>
        <w:gridCol w:w="211"/>
        <w:gridCol w:w="361"/>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Derivatives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Derivatives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jc w:val="left"/>
        <w:rPr/>
      </w:pPr>
      <w:r>
        <w:rPr>
          <w:color w:val="000000"/>
        </w:rPr>
        <w:t> </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Currency derivatives are valued based on observable market spot and forward rates and are classified within Level 2 of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classification and transfers between levels in the fair value hierarchy in the current period.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6 — DERIVATIVE INSTRUMENTS AND HEDGING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part of our financial risk management program, we use certain derivative financial instruments. See Note 2 for discussion on our derivative instruments and hedging activities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derivatives designated and not designated as hedging instruments in the consolidated balance sheets are as follows:</w:t>
      </w:r>
    </w:p>
    <w:tbl>
      <w:tblPr>
        <w:tblW w:w="6360" w:type="dxa"/>
        <w:jc w:val="left"/>
        <w:tblInd w:w="0" w:type="dxa"/>
        <w:tblLayout w:type="fixed"/>
        <w:tblCellMar>
          <w:top w:w="28" w:type="dxa"/>
          <w:left w:w="28" w:type="dxa"/>
          <w:bottom w:w="28" w:type="dxa"/>
          <w:right w:w="28" w:type="dxa"/>
        </w:tblCellMar>
      </w:tblPr>
      <w:tblGrid>
        <w:gridCol w:w="1686"/>
        <w:gridCol w:w="1485"/>
        <w:gridCol w:w="1493"/>
        <w:gridCol w:w="211"/>
        <w:gridCol w:w="541"/>
        <w:gridCol w:w="109"/>
        <w:gridCol w:w="109"/>
        <w:gridCol w:w="211"/>
        <w:gridCol w:w="361"/>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6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range forward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designated as hedging instruments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494949"/>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op w:val="single" w:sz="8" w:space="0" w:color="494949"/>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 currency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 currency forward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 not designated as hedging instruments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currency forward contracts that hedge significant cross-border intercompany loans are considered as other derivatives and therefore do not qualify for hedge accounting. These contracts are recorded at fair value in the consolidated balance sheets, with the offset to other income, net. Losses (gains) related to derivatives not designated as hedging instruments have been recognized as follows:</w:t>
      </w:r>
    </w:p>
    <w:tbl>
      <w:tblPr>
        <w:tblW w:w="6551" w:type="dxa"/>
        <w:jc w:val="left"/>
        <w:tblInd w:w="0" w:type="dxa"/>
        <w:tblLayout w:type="fixed"/>
        <w:tblCellMar>
          <w:top w:w="28" w:type="dxa"/>
          <w:left w:w="28" w:type="dxa"/>
          <w:bottom w:w="28" w:type="dxa"/>
          <w:right w:w="28" w:type="dxa"/>
        </w:tblCellMar>
      </w:tblPr>
      <w:tblGrid>
        <w:gridCol w:w="1312"/>
        <w:gridCol w:w="1156"/>
        <w:gridCol w:w="1161"/>
        <w:gridCol w:w="211"/>
        <w:gridCol w:w="466"/>
        <w:gridCol w:w="109"/>
        <w:gridCol w:w="109"/>
        <w:gridCol w:w="109"/>
        <w:gridCol w:w="109"/>
        <w:gridCol w:w="211"/>
        <w:gridCol w:w="436"/>
        <w:gridCol w:w="109"/>
        <w:gridCol w:w="109"/>
        <w:gridCol w:w="109"/>
        <w:gridCol w:w="109"/>
        <w:gridCol w:w="211"/>
        <w:gridCol w:w="361"/>
        <w:gridCol w:w="154"/>
      </w:tblGrid>
      <w:tr>
        <w:trPr/>
        <w:tc>
          <w:tcPr>
            <w:tcW w:w="13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62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recognized in other income, net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 HEDGES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Range forward contracts (a transaction where both a put option is purchased and a call option is sold) are designated as cash flow hedges and hedge anticipated cash flows from cross-border intercompany sales of products and services. Gains and losses realized on these contracts are recorded in accumulated other comprehensive loss and are recognized as a component of cost of goods sold when the underlying sale of products or services is recognized into earnings. The notional amount of the contracts translated into U.S. dollars at June 30, 2026 and 2025 was zero and $4.7 million, respectively. The time value component of the fair value of range forward contracts is excluded from the assessment of hedge effectiveness.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represents (losses) gains, net of tax, related to cash flow hedges:</w:t>
      </w:r>
    </w:p>
    <w:tbl>
      <w:tblPr>
        <w:tblW w:w="8037" w:type="dxa"/>
        <w:jc w:val="left"/>
        <w:tblInd w:w="0" w:type="dxa"/>
        <w:tblLayout w:type="fixed"/>
        <w:tblCellMar>
          <w:top w:w="28" w:type="dxa"/>
          <w:left w:w="28" w:type="dxa"/>
          <w:bottom w:w="28" w:type="dxa"/>
          <w:right w:w="28" w:type="dxa"/>
        </w:tblCellMar>
      </w:tblPr>
      <w:tblGrid>
        <w:gridCol w:w="2135"/>
        <w:gridCol w:w="1876"/>
        <w:gridCol w:w="1898"/>
        <w:gridCol w:w="211"/>
        <w:gridCol w:w="541"/>
        <w:gridCol w:w="109"/>
        <w:gridCol w:w="109"/>
        <w:gridCol w:w="109"/>
        <w:gridCol w:w="109"/>
        <w:gridCol w:w="211"/>
        <w:gridCol w:w="466"/>
        <w:gridCol w:w="109"/>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recognized in other 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INVESTMENT HEDGES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we had certain foreign currency-denominated intercompany loans payable with total aggregate principal amounts of ¥321.4 million and ¥82.3 million, respectively, designated as net investment hedges to hedge the foreign exchange exposure of our net investment in our China-based subsidiaries. Losses of $1.6 million and $2.2 million were recorded as a component of foreign currency translation adjustments in other comprehensive (loss) income as of June 30, 2026 and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foreign currency-denominated intercompany loans payable designated as net investment hedges consisted of:</w:t>
      </w:r>
    </w:p>
    <w:tbl>
      <w:tblPr>
        <w:tblW w:w="9943" w:type="dxa"/>
        <w:jc w:val="left"/>
        <w:tblInd w:w="0" w:type="dxa"/>
        <w:tblLayout w:type="fixed"/>
        <w:tblCellMar>
          <w:top w:w="28" w:type="dxa"/>
          <w:left w:w="28" w:type="dxa"/>
          <w:bottom w:w="28" w:type="dxa"/>
          <w:right w:w="28" w:type="dxa"/>
        </w:tblCellMar>
      </w:tblPr>
      <w:tblGrid>
        <w:gridCol w:w="1769"/>
        <w:gridCol w:w="1554"/>
        <w:gridCol w:w="1566"/>
        <w:gridCol w:w="345"/>
        <w:gridCol w:w="1352"/>
        <w:gridCol w:w="178"/>
        <w:gridCol w:w="374"/>
        <w:gridCol w:w="1278"/>
        <w:gridCol w:w="193"/>
        <w:gridCol w:w="390"/>
        <w:gridCol w:w="390"/>
        <w:gridCol w:w="554"/>
      </w:tblGrid>
      <w:tr>
        <w:trPr/>
        <w:tc>
          <w:tcPr>
            <w:tcW w:w="176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Instrument</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Notional </w:t>
            </w:r>
          </w:p>
          <w:p>
            <w:pPr>
              <w:pStyle w:val="TableContents"/>
              <w:bidi w:val="0"/>
              <w:spacing w:lineRule="auto" w:line="240" w:before="0" w:after="0"/>
              <w:jc w:val="center"/>
              <w:rPr/>
            </w:pPr>
            <w:r>
              <w:rPr>
                <w:rFonts w:ascii="Times New Roman;serif" w:hAnsi="Times New Roman;serif"/>
                <w:b w:val="false"/>
                <w:color w:val="000000"/>
                <w:sz w:val="20"/>
              </w:rPr>
              <w:t>(CNY in thousands)</w:t>
            </w:r>
            <w:r>
              <w:rPr>
                <w:rFonts w:ascii="Times New Roman;serif" w:hAnsi="Times New Roman;serif"/>
                <w:b w:val="false"/>
                <w:color w:val="000000"/>
                <w:sz w:val="13"/>
              </w:rPr>
              <w:t>(2)</w:t>
            </w:r>
          </w:p>
        </w:tc>
        <w:tc>
          <w:tcPr>
            <w:tcW w:w="18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Notional </w:t>
            </w:r>
          </w:p>
          <w:p>
            <w:pPr>
              <w:pStyle w:val="TableContents"/>
              <w:bidi w:val="0"/>
              <w:spacing w:lineRule="auto" w:line="240" w:before="0" w:after="0"/>
              <w:jc w:val="center"/>
              <w:rPr/>
            </w:pPr>
            <w:r>
              <w:rPr>
                <w:rFonts w:ascii="Times New Roman;serif" w:hAnsi="Times New Roman;serif"/>
                <w:b w:val="false"/>
                <w:color w:val="000000"/>
                <w:sz w:val="20"/>
              </w:rPr>
              <w:t>(USD in thousands)</w:t>
            </w:r>
            <w:r>
              <w:rPr>
                <w:rFonts w:ascii="Times New Roman;serif" w:hAnsi="Times New Roman;serif"/>
                <w:b w:val="false"/>
                <w:color w:val="000000"/>
                <w:sz w:val="13"/>
              </w:rPr>
              <w:t>(2)</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Maturity</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intercompany loan payable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January 2027</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intercompany loan payable</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2027</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intercompany loan payable</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2027</w:t>
            </w:r>
          </w:p>
        </w:tc>
      </w:tr>
      <w:tr>
        <w:trPr/>
        <w:tc>
          <w:tcPr>
            <w:tcW w:w="48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currency-denominated intercompany loan payable</w:t>
            </w:r>
          </w:p>
        </w:tc>
        <w:tc>
          <w:tcPr>
            <w:tcW w:w="3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41,065 </w:t>
            </w:r>
          </w:p>
        </w:tc>
        <w:tc>
          <w:tcPr>
            <w:tcW w:w="1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19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2027</w:t>
            </w:r>
          </w:p>
        </w:tc>
      </w:tr>
    </w:tbl>
    <w:p>
      <w:pPr>
        <w:pStyle w:val="TextBody"/>
        <w:bidi w:val="0"/>
        <w:spacing w:lineRule="auto" w:line="288" w:before="120" w:after="283"/>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principal and accrued interest.</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7 — INVENTORIES</w:t>
      </w:r>
    </w:p>
    <w:p>
      <w:pPr>
        <w:pStyle w:val="TextBody"/>
        <w:bidi w:val="0"/>
        <w:spacing w:lineRule="auto" w:line="288" w:before="120" w:after="283"/>
        <w:jc w:val="left"/>
        <w:rPr/>
      </w:pPr>
      <w:r>
        <w:rPr>
          <w:rFonts w:ascii="Times New Roman;serif" w:hAnsi="Times New Roman;serif"/>
          <w:b w:val="false"/>
          <w:color w:val="000000"/>
          <w:sz w:val="20"/>
        </w:rPr>
        <w:t>Inventories consisted of the following at June 30:</w:t>
      </w:r>
      <w:r>
        <w:rPr>
          <w:color w:val="000000"/>
        </w:rPr>
        <w:t> </w:t>
      </w:r>
    </w:p>
    <w:tbl>
      <w:tblPr>
        <w:tblW w:w="5813" w:type="dxa"/>
        <w:jc w:val="left"/>
        <w:tblInd w:w="0" w:type="dxa"/>
        <w:tblLayout w:type="fixed"/>
        <w:tblCellMar>
          <w:top w:w="28" w:type="dxa"/>
          <w:left w:w="28" w:type="dxa"/>
          <w:bottom w:w="28" w:type="dxa"/>
          <w:right w:w="28" w:type="dxa"/>
        </w:tblCellMar>
      </w:tblPr>
      <w:tblGrid>
        <w:gridCol w:w="1084"/>
        <w:gridCol w:w="954"/>
        <w:gridCol w:w="961"/>
        <w:gridCol w:w="211"/>
        <w:gridCol w:w="976"/>
        <w:gridCol w:w="109"/>
        <w:gridCol w:w="109"/>
        <w:gridCol w:w="109"/>
        <w:gridCol w:w="109"/>
        <w:gridCol w:w="211"/>
        <w:gridCol w:w="82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9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328,243 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 and powder blends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at current cost</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1,469,890 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644,226 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LIFO valuation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1,108,450 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538,237 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used the LIFO method of valuing inventories for approximately 34 percent and 34 percent of total inventories at June 30, 2026 and 2025,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 GOODWILL AND OTHER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goodwill of $279.2 million was allocated to the Metal Cutting reporting unit. We completed annual tests of goodwill impairment and recorded no impairments during 2026, 2025 or 2024 for our Metal Cutting reporting unit.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carrying amount of goodwill attributable to each segment, as well as the changes in such, is as follows:</w:t>
      </w:r>
    </w:p>
    <w:tbl>
      <w:tblPr>
        <w:tblW w:w="8272" w:type="dxa"/>
        <w:jc w:val="left"/>
        <w:tblInd w:w="0" w:type="dxa"/>
        <w:tblLayout w:type="fixed"/>
        <w:tblCellMar>
          <w:top w:w="28" w:type="dxa"/>
          <w:left w:w="28" w:type="dxa"/>
          <w:bottom w:w="28" w:type="dxa"/>
          <w:right w:w="28" w:type="dxa"/>
        </w:tblCellMar>
      </w:tblPr>
      <w:tblGrid>
        <w:gridCol w:w="1329"/>
        <w:gridCol w:w="1170"/>
        <w:gridCol w:w="1176"/>
        <w:gridCol w:w="232"/>
        <w:gridCol w:w="908"/>
        <w:gridCol w:w="119"/>
        <w:gridCol w:w="109"/>
        <w:gridCol w:w="109"/>
        <w:gridCol w:w="109"/>
        <w:gridCol w:w="218"/>
        <w:gridCol w:w="854"/>
        <w:gridCol w:w="114"/>
        <w:gridCol w:w="109"/>
        <w:gridCol w:w="109"/>
        <w:gridCol w:w="109"/>
        <w:gridCol w:w="211"/>
        <w:gridCol w:w="976"/>
        <w:gridCol w:w="311"/>
      </w:tblGrid>
      <w:tr>
        <w:trPr/>
        <w:tc>
          <w:tcPr>
            <w:tcW w:w="132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6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449,228 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633,211 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1,082,439 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271,567 </w:t>
            </w:r>
          </w:p>
        </w:tc>
        <w:tc>
          <w:tcPr>
            <w:tcW w:w="11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271,567 </w:t>
            </w:r>
          </w:p>
        </w:tc>
        <w:tc>
          <w:tcPr>
            <w:tcW w:w="3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for the year ended June 30, 2025:</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gross goodwill due to translation</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1,093,598 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(810,872)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282,726 </w:t>
            </w:r>
          </w:p>
        </w:tc>
        <w:tc>
          <w:tcPr>
            <w:tcW w:w="11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282,726 </w:t>
            </w:r>
          </w:p>
        </w:tc>
        <w:tc>
          <w:tcPr>
            <w:tcW w:w="3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for the year ended June 30, 2026:</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gross goodwill due to translation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1,090,085 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(810,872)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279,213 </w:t>
            </w:r>
          </w:p>
        </w:tc>
        <w:tc>
          <w:tcPr>
            <w:tcW w:w="1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279,213 </w:t>
            </w:r>
          </w:p>
        </w:tc>
        <w:tc>
          <w:tcPr>
            <w:tcW w:w="3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The components of our other intangible assets were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880"/>
        <w:gridCol w:w="774"/>
        <w:gridCol w:w="781"/>
        <w:gridCol w:w="335"/>
        <w:gridCol w:w="335"/>
        <w:gridCol w:w="336"/>
        <w:gridCol w:w="109"/>
        <w:gridCol w:w="109"/>
        <w:gridCol w:w="109"/>
        <w:gridCol w:w="243"/>
        <w:gridCol w:w="952"/>
        <w:gridCol w:w="126"/>
        <w:gridCol w:w="109"/>
        <w:gridCol w:w="109"/>
        <w:gridCol w:w="109"/>
        <w:gridCol w:w="211"/>
        <w:gridCol w:w="900"/>
        <w:gridCol w:w="109"/>
        <w:gridCol w:w="109"/>
        <w:gridCol w:w="109"/>
        <w:gridCol w:w="109"/>
        <w:gridCol w:w="109"/>
        <w:gridCol w:w="109"/>
        <w:gridCol w:w="109"/>
        <w:gridCol w:w="243"/>
        <w:gridCol w:w="952"/>
        <w:gridCol w:w="126"/>
        <w:gridCol w:w="109"/>
        <w:gridCol w:w="109"/>
        <w:gridCol w:w="109"/>
        <w:gridCol w:w="211"/>
        <w:gridCol w:w="900"/>
        <w:gridCol w:w="156"/>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w:t>
              <w:br/>
              <w:t>Amortization</w:t>
            </w:r>
          </w:p>
        </w:tc>
      </w:tr>
      <w:tr>
        <w:trPr/>
        <w:tc>
          <w:tcPr>
            <w:tcW w:w="24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Technology-based and other</w:t>
            </w:r>
          </w:p>
        </w:tc>
        <w:tc>
          <w:tcPr>
            <w:tcW w:w="10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 to 20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27,800 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(26,243)</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 to 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Unpatented technology</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 to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 to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237,764 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doub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(175,501)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$9.5 million, $10.8 million and $11.6 million for 2026, 2025 and 2024, respectively. Estimated amortization expense for 2027 through 2031 is $8.7 million, $7.7 million, $7.6 million, $7.6 million and $7.5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9 —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the inception of our contracts, we determine if the contract is or contains a lease. A contract is or contains a lease if it conveys the right to control the use of an identified asset for a period of time in exchange for consideration. ROU assets and operating lease liabilities are recognized based on the present value of lease payments over the lease term at commencement. For leases that do not have a readily determinable implicit rate, we use a discount rate based on our incremental borrowing rate, which is determined considering factors such as the lease term, our credit rating and the economic environment of the location of the lease as of the commencement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account for non-lease components separately from lease components. These costs often relate to the payments for a proportionate share of real estate taxes, insurance, common area maintenance and other operating costs in addition to base rent. We also generally do not recognize ROU assets and liabilities for leases with an initial term of 12 months or less. Lease costs associated with leases of less than 12 months were $8.2 million, $7.7 million and $5.9 million for the years ended June 30, 2026, 2025 and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lessee, we have various operating lease agreements primarily related to real estate, vehicles and office and plant equipment. Our real estate leases, which are comprised primarily of manufacturing, warehousing, office and administration facilities, represent a majority of our lease liability. Our lease payments are largely fixed. Any variable lease payments, including utilities, common area maintenance and repairs and maintenance, are expensed during the period incurred. Variable lease costs were immaterial for the years ended June 30, 2026, 2025 and 2024. A majority of our real estate leases include options to extend the lease and options to early terminate the lease. Leases with an early termination option generally involve a termination payment. We review all options to extend, terminate, or purchase the ROU assets at the inception of the lease and account for these options when they are reasonably certain of being exercised. Our lease agreements generally do not contain any material residual value guarantees or materially restrictive covenants. We have signed a material lease agreement related to the Company's future innovation center in Germany. The lease has not yet commenced as the facility has yet to be constructed and the Company does not have the right to use the property until the future handover date. We do not have any material lease transactions with related parties.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expense is recognized on a straight-line basis over the lease term and is included in operating expense on our consolidated statements of income. Operating lease cost was $24.1 million, $24.3 million and $22.3 million in 2026, 2025 and 2024,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supplemental balance sheet information related to our operating leases:</w:t>
      </w:r>
    </w:p>
    <w:tbl>
      <w:tblPr>
        <w:tblW w:w="6619" w:type="dxa"/>
        <w:jc w:val="center"/>
        <w:tblInd w:w="0" w:type="dxa"/>
        <w:tblLayout w:type="fixed"/>
        <w:tblCellMar>
          <w:top w:w="28" w:type="dxa"/>
          <w:left w:w="28" w:type="dxa"/>
          <w:bottom w:w="28" w:type="dxa"/>
          <w:right w:w="28" w:type="dxa"/>
        </w:tblCellMar>
      </w:tblPr>
      <w:tblGrid>
        <w:gridCol w:w="1200"/>
        <w:gridCol w:w="1054"/>
        <w:gridCol w:w="1060"/>
        <w:gridCol w:w="203"/>
        <w:gridCol w:w="203"/>
        <w:gridCol w:w="458"/>
        <w:gridCol w:w="109"/>
        <w:gridCol w:w="109"/>
        <w:gridCol w:w="109"/>
        <w:gridCol w:w="203"/>
        <w:gridCol w:w="203"/>
        <w:gridCol w:w="458"/>
        <w:gridCol w:w="109"/>
        <w:gridCol w:w="109"/>
        <w:gridCol w:w="109"/>
        <w:gridCol w:w="203"/>
        <w:gridCol w:w="203"/>
        <w:gridCol w:w="517"/>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w:t>
            </w:r>
          </w:p>
        </w:tc>
        <w:tc>
          <w:tcPr>
            <w:tcW w:w="86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3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8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years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years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years</w:t>
            </w:r>
          </w:p>
        </w:tc>
      </w:tr>
      <w:tr>
        <w:trPr/>
        <w:tc>
          <w:tcPr>
            <w:tcW w:w="331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0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58"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58"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1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supplemental cash flow information related to our operating leases:</w:t>
      </w:r>
    </w:p>
    <w:tbl>
      <w:tblPr>
        <w:tblW w:w="9401" w:type="dxa"/>
        <w:jc w:val="center"/>
        <w:tblInd w:w="0" w:type="dxa"/>
        <w:tblLayout w:type="fixed"/>
        <w:tblCellMar>
          <w:top w:w="28" w:type="dxa"/>
          <w:left w:w="28" w:type="dxa"/>
          <w:bottom w:w="28" w:type="dxa"/>
          <w:right w:w="28" w:type="dxa"/>
        </w:tblCellMar>
      </w:tblPr>
      <w:tblGrid>
        <w:gridCol w:w="2017"/>
        <w:gridCol w:w="1776"/>
        <w:gridCol w:w="1786"/>
        <w:gridCol w:w="211"/>
        <w:gridCol w:w="721"/>
        <w:gridCol w:w="109"/>
        <w:gridCol w:w="109"/>
        <w:gridCol w:w="109"/>
        <w:gridCol w:w="109"/>
        <w:gridCol w:w="211"/>
        <w:gridCol w:w="721"/>
        <w:gridCol w:w="109"/>
        <w:gridCol w:w="109"/>
        <w:gridCol w:w="109"/>
        <w:gridCol w:w="109"/>
        <w:gridCol w:w="211"/>
        <w:gridCol w:w="721"/>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16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57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new operating lease liabilities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maturities of our operating lease liabilities and reconciles the respective undiscounted payments to the operating lease liabilities in the consolidated balance sheet as of June 30, 2026:</w:t>
      </w:r>
    </w:p>
    <w:tbl>
      <w:tblPr>
        <w:tblW w:w="5222"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211"/>
        <w:gridCol w:w="721"/>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June 30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discount to net present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10 — OTHER CURRENT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consisted of the following at June 30:</w:t>
      </w:r>
    </w:p>
    <w:tbl>
      <w:tblPr>
        <w:tblW w:w="5661" w:type="dxa"/>
        <w:jc w:val="left"/>
        <w:tblInd w:w="0" w:type="dxa"/>
        <w:tblLayout w:type="fixed"/>
        <w:tblCellMar>
          <w:top w:w="28" w:type="dxa"/>
          <w:left w:w="28" w:type="dxa"/>
          <w:bottom w:w="28" w:type="dxa"/>
          <w:right w:w="28" w:type="dxa"/>
        </w:tblCellMar>
      </w:tblPr>
      <w:tblGrid>
        <w:gridCol w:w="1003"/>
        <w:gridCol w:w="884"/>
        <w:gridCol w:w="888"/>
        <w:gridCol w:w="109"/>
        <w:gridCol w:w="109"/>
        <w:gridCol w:w="109"/>
        <w:gridCol w:w="211"/>
        <w:gridCol w:w="826"/>
        <w:gridCol w:w="109"/>
        <w:gridCol w:w="109"/>
        <w:gridCol w:w="109"/>
        <w:gridCol w:w="109"/>
        <w:gridCol w:w="211"/>
        <w:gridCol w:w="721"/>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to vendors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 at June 30:</w:t>
      </w:r>
    </w:p>
    <w:tbl>
      <w:tblPr>
        <w:tblW w:w="6020" w:type="dxa"/>
        <w:jc w:val="center"/>
        <w:tblInd w:w="0" w:type="dxa"/>
        <w:tblLayout w:type="fixed"/>
        <w:tblCellMar>
          <w:top w:w="28" w:type="dxa"/>
          <w:left w:w="28" w:type="dxa"/>
          <w:bottom w:w="28" w:type="dxa"/>
          <w:right w:w="28" w:type="dxa"/>
        </w:tblCellMar>
      </w:tblPr>
      <w:tblGrid>
        <w:gridCol w:w="1096"/>
        <w:gridCol w:w="964"/>
        <w:gridCol w:w="969"/>
        <w:gridCol w:w="109"/>
        <w:gridCol w:w="109"/>
        <w:gridCol w:w="109"/>
        <w:gridCol w:w="211"/>
        <w:gridCol w:w="826"/>
        <w:gridCol w:w="109"/>
        <w:gridCol w:w="109"/>
        <w:gridCol w:w="109"/>
        <w:gridCol w:w="109"/>
        <w:gridCol w:w="211"/>
        <w:gridCol w:w="82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state and local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professional and legal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environmental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179,088 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11 — LONG-TERM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at June 30:</w:t>
      </w:r>
    </w:p>
    <w:tbl>
      <w:tblPr>
        <w:tblW w:w="10205" w:type="dxa"/>
        <w:jc w:val="center"/>
        <w:tblInd w:w="0" w:type="dxa"/>
        <w:tblLayout w:type="fixed"/>
        <w:tblCellMar>
          <w:top w:w="28" w:type="dxa"/>
          <w:left w:w="28" w:type="dxa"/>
          <w:bottom w:w="28" w:type="dxa"/>
          <w:right w:w="28" w:type="dxa"/>
        </w:tblCellMar>
      </w:tblPr>
      <w:tblGrid>
        <w:gridCol w:w="2755"/>
        <w:gridCol w:w="2387"/>
        <w:gridCol w:w="2398"/>
        <w:gridCol w:w="211"/>
        <w:gridCol w:w="826"/>
        <w:gridCol w:w="109"/>
        <w:gridCol w:w="109"/>
        <w:gridCol w:w="109"/>
        <w:gridCol w:w="109"/>
        <w:gridCol w:w="211"/>
        <w:gridCol w:w="826"/>
        <w:gridCol w:w="155"/>
      </w:tblGrid>
      <w:tr>
        <w:trPr/>
        <w:tc>
          <w:tcPr>
            <w:tcW w:w="2755"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5.800% Senior Unsecured Notes due fiscal 2036, net of discount of $1.0 million for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2.800% Senior Unsecured Notes due fiscal 2031, net of discount of $0.1 million for 2026 and $0.1 million for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Unsecured Notes due fiscal 2028, net of discount of zero for 2026 and $0.6 million for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term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599,255 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685,280 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596,788 </w:t>
            </w:r>
          </w:p>
        </w:tc>
        <w:tc>
          <w:tcPr>
            <w:tcW w:w="1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2026, the Company completed refinancing transactions designed to enhance liquidity, extend debt maturities and increase financial flexibility. The Company issued $300.0 million of 5.800% Senior Unsecured Notes due 2036 (the "2036 Notes"). Interest is paid semi-annually on May 28 and November 28 of each year. Net proceeds from the 2036 Notes were used to fund a tender offer for the Company's outstanding 4.625 percent Senior Unsecured Notes due 2028 (the "2028 Notes"). The tender offer resulted in the repurchase of $209.4 million out of the total $300.0 million aggregate principal of the 2028 Notes.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these transactions, the Company also entered into a new $500.0 million three-year term loan and amended its Credit Agreement (as defined in Note 12) to increase aggregate commitments by $200.0 million. The Company expects to have fully drawn the $500.0 million term loan by September 30, 2026, after which any undrawn commitments will no longer be available.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2021, we issued $300.0 million of 2.800 percent Senior Unsecured Notes with a maturity date of March 1, 2031. Interest is paid semi-annually on March 1 and September 1 of each year.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future principal maturities of long-term debt are $90.6 million in 2028, $300.0 million in 2031 and $300.0 million in 2036. The 2028 Notes were fully redeemed on July 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Fixed rate debt had a fair market value of $666.7 million and $570.8 million at June 30, 2026 and 2025, respectively. The Level 2 fair value is determined based on the quoted market prices for similar debt instruments as of June 30, 2026 and 2025, respectively.</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REVOLVING AND OTHER LINES OF CREDIT AND NOTES PAYABLE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fiscal 2026, we entered into the Seventh Amended and Restated Credit Agreement dated as of November 17, 2025 (the Credit Agreement). The Credit Agreement is a five-year, multi-currency, revolving credit facility, which we use to augment cash from operations and as an additional source of funds. The Credit Agreement allows for borrowings in U.S. dollars, Canadian dollars, euros, pounds sterling and Japanese yen. Interest payable under the Credit Agreement is based upon the type of borrowing under the facility and may be (1) Euro Interbank Offered Rate (EURIBOR), Sterling Overnight Index Average (SONIA), Canadian Overnight Repo Rate Average (CORRA), Tokyo Interbank Offered Rate (TIBOR) and Secured Overnight Financing Rate (SOFR) for any borrowings in euros, pounds sterling, Canadian dollars, yen and U.S. dollars, respectively, plus an applicable margin, (2) the greater of the prime rate or the Federal Funds effective rate plus an applicable margin, or (3) fixed as negotiated by us. The Credit Agreement matures in November 2030.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Credit Agreement requires us to comply with various restrictive and affirmative covenants, including one financial covenant: a maximum leverage ratio where debt, net of domestic cash and sixty percent of the unrestricted cash held outside of the United States, must be less than or equal to 3.75 times trailing twelve months EBITDA, adjusted for certain non-cash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May 2026, in connection with the refinancing transactions more fully described in Note 11, the Company amended its Credit Agreement to increase aggregate commitments by $200.0 million for a total of $850.0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we were in compliance with all covenants of the Credit Agreement. As of June 30, 2026, we had $20 million of borrowings outstanding and $830.0 million of availability. There were no borrowings outstanding as of June 30, 2025. The weighted average interest rate on borrowings under the Credit Agreement was 4.7 percent for the year ended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on other lines of credit and notes payable were $12.2 million and $1.0 million at June 30, 2026 and 2025, respectively. The lines of credit represented short-term borrowings under credit lines with commercial banks in the various countries in which we operate. The availability of these credit lines, translated into U.S. dollars at June 30, 2026 exchange rates, totaled $48.8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NOTE 13</w:t>
      </w:r>
      <w:r>
        <w:rPr>
          <w:color w:val="000000"/>
        </w:rPr>
        <w:t xml:space="preserve"> — </w:t>
      </w:r>
      <w:r>
        <w:rPr>
          <w:rFonts w:ascii="Times New Roman;serif" w:hAnsi="Times New Roman;serif"/>
          <w:b/>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consisted of the following for the years ended June 30:</w:t>
      </w:r>
    </w:p>
    <w:tbl>
      <w:tblPr>
        <w:tblW w:w="8437" w:type="dxa"/>
        <w:jc w:val="left"/>
        <w:tblInd w:w="0" w:type="dxa"/>
        <w:tblLayout w:type="fixed"/>
        <w:tblCellMar>
          <w:top w:w="28" w:type="dxa"/>
          <w:left w:w="28" w:type="dxa"/>
          <w:bottom w:w="28" w:type="dxa"/>
          <w:right w:w="28" w:type="dxa"/>
        </w:tblCellMar>
      </w:tblPr>
      <w:tblGrid>
        <w:gridCol w:w="1339"/>
        <w:gridCol w:w="1179"/>
        <w:gridCol w:w="1187"/>
        <w:gridCol w:w="109"/>
        <w:gridCol w:w="211"/>
        <w:gridCol w:w="826"/>
        <w:gridCol w:w="271"/>
        <w:gridCol w:w="109"/>
        <w:gridCol w:w="109"/>
        <w:gridCol w:w="109"/>
        <w:gridCol w:w="211"/>
        <w:gridCol w:w="826"/>
        <w:gridCol w:w="271"/>
        <w:gridCol w:w="109"/>
        <w:gridCol w:w="109"/>
        <w:gridCol w:w="109"/>
        <w:gridCol w:w="211"/>
        <w:gridCol w:w="826"/>
        <w:gridCol w:w="316"/>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461,329 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144,450 </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66,229 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46,380 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38,826 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 expense (benefit): </w:t>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44,686 </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(13,084)</w:t>
            </w:r>
          </w:p>
        </w:tc>
        <w:tc>
          <w:tcPr>
            <w:tcW w:w="27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w:t>
            </w:r>
          </w:p>
        </w:tc>
        <w:tc>
          <w:tcPr>
            <w:tcW w:w="3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110,915 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33,296 </w:t>
            </w:r>
          </w:p>
        </w:tc>
        <w:tc>
          <w:tcPr>
            <w:tcW w:w="2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3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 of income taxes computed using the statutory U.S. income tax rate and the provision for income taxes in accordance with the guidance in ASU 2023-09 is as follows for the year ended June 30, 2026:</w:t>
      </w:r>
    </w:p>
    <w:tbl>
      <w:tblPr>
        <w:tblW w:w="7255" w:type="dxa"/>
        <w:jc w:val="left"/>
        <w:tblInd w:w="0" w:type="dxa"/>
        <w:tblLayout w:type="fixed"/>
        <w:tblCellMar>
          <w:top w:w="28" w:type="dxa"/>
          <w:left w:w="28" w:type="dxa"/>
          <w:bottom w:w="28" w:type="dxa"/>
          <w:right w:w="28" w:type="dxa"/>
        </w:tblCellMar>
      </w:tblPr>
      <w:tblGrid>
        <w:gridCol w:w="1630"/>
        <w:gridCol w:w="1429"/>
        <w:gridCol w:w="1440"/>
        <w:gridCol w:w="109"/>
        <w:gridCol w:w="109"/>
        <w:gridCol w:w="109"/>
        <w:gridCol w:w="211"/>
        <w:gridCol w:w="826"/>
        <w:gridCol w:w="109"/>
        <w:gridCol w:w="109"/>
        <w:gridCol w:w="109"/>
        <w:gridCol w:w="109"/>
        <w:gridCol w:w="255"/>
        <w:gridCol w:w="256"/>
        <w:gridCol w:w="445"/>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percents)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w:t>
            </w:r>
          </w:p>
        </w:tc>
      </w:tr>
      <w:tr>
        <w:trPr/>
        <w:tc>
          <w:tcPr>
            <w:tcW w:w="4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at U.S. statutory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Cantonal and municipal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manufacturing production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 and effective tax rate</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income taxes in Pennsylvania, Indiana, California, Minnesota, New York, Illinois and Connecticut comprise the majority of the domestic state income taxes, net of federal tax benefit for the year ended 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 of income taxes computed using the statutory U.S. income tax rate and the provision for income taxes prior to the adoption of ASU 2023-09 was as follows for the years ended June 30, 2025 and 2024:</w:t>
      </w:r>
    </w:p>
    <w:tbl>
      <w:tblPr>
        <w:tblW w:w="8368" w:type="dxa"/>
        <w:jc w:val="left"/>
        <w:tblInd w:w="0" w:type="dxa"/>
        <w:tblLayout w:type="fixed"/>
        <w:tblCellMar>
          <w:top w:w="28" w:type="dxa"/>
          <w:left w:w="28" w:type="dxa"/>
          <w:bottom w:w="28" w:type="dxa"/>
          <w:right w:w="28" w:type="dxa"/>
        </w:tblCellMar>
      </w:tblPr>
      <w:tblGrid>
        <w:gridCol w:w="1943"/>
        <w:gridCol w:w="1708"/>
        <w:gridCol w:w="1718"/>
        <w:gridCol w:w="109"/>
        <w:gridCol w:w="109"/>
        <w:gridCol w:w="109"/>
        <w:gridCol w:w="109"/>
        <w:gridCol w:w="109"/>
        <w:gridCol w:w="211"/>
        <w:gridCol w:w="721"/>
        <w:gridCol w:w="109"/>
        <w:gridCol w:w="109"/>
        <w:gridCol w:w="109"/>
        <w:gridCol w:w="109"/>
        <w:gridCol w:w="211"/>
        <w:gridCol w:w="721"/>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36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at U.S.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income taxes provided on international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tax effects of international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 and other 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manufacturing production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effects of Swiss tax reform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2024, we recorded a tax benefit of $7.8 million to record the effects of a tax rate increase enacted by the cantonal and municipal tax authorities where we operate in Switzerland. The impact of this item is included in the tax reconciliation table under the caption "Combined effects of Swiss tax reform."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2024, we recorded a tax benefit of $6.2 million to reduce an accrual for an unrecognized tax benefit due to the lapse of the statute of limitation. The impact of this item is included in the tax reconciliation table under the caption "Change in valuation allowance and other uncertain tax positions."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2024, we recorded a tax charge of $2.9 million to settle income tax litigation in Italy. The impact of this item is included in the tax reconciliation table under the caption "Change in valuation allowance and other 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deferred tax assets and liabilities were as follows at June 30:</w:t>
      </w:r>
    </w:p>
    <w:tbl>
      <w:tblPr>
        <w:tblW w:w="6702" w:type="dxa"/>
        <w:jc w:val="left"/>
        <w:tblInd w:w="0" w:type="dxa"/>
        <w:tblLayout w:type="fixed"/>
        <w:tblCellMar>
          <w:top w:w="28" w:type="dxa"/>
          <w:left w:w="28" w:type="dxa"/>
          <w:bottom w:w="28" w:type="dxa"/>
          <w:right w:w="28" w:type="dxa"/>
        </w:tblCellMar>
      </w:tblPr>
      <w:tblGrid>
        <w:gridCol w:w="1458"/>
        <w:gridCol w:w="1286"/>
        <w:gridCol w:w="1290"/>
        <w:gridCol w:w="109"/>
        <w:gridCol w:w="211"/>
        <w:gridCol w:w="721"/>
        <w:gridCol w:w="109"/>
        <w:gridCol w:w="109"/>
        <w:gridCol w:w="109"/>
        <w:gridCol w:w="109"/>
        <w:gridCol w:w="211"/>
        <w:gridCol w:w="826"/>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(NOL) carryforwards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and reserves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costs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and other carryforwards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140,225 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134,011 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depreciation in excess of book</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Unremitted earnings not permanently reinvested</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76,147 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Included in deferred tax assets at June 30, 2026 is $1.0 million associated with tax credits and other carryforward items in the U.S. and Europe. Of that amount, $0.2 million expires through 2046, and $0.8 million does not expire.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Included in deferred tax assets at June 30, 2026 is $16.0 million associated with NOL carryforwards in U.S. state and foreign jurisdictions. Of that amount, $1.6 million expires through 2031, $0.5 million expires through 2036, $0.6 million expires through 2041, $2.5 million expires through 2046, and the remaining $10.8 million does not expire. The realization of these tax benefits is primarily dependent on future taxable income in these jurisdictions.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valuation allowance of $4.9 million has been placed against deferred tax assets primarily in U.S. state, Hong Kong and Vietnam jurisdictions, all of which would be allocated to income tax expense upon realization of the deferred tax assets. As the respective operations generate sufficient income, the valuation allowances will be partially or fully reversed at such time we believe it will be more likely than not that the deferred tax assets will be realized. In 2026, the valuation allowance related to these deferred tax assets decreased by $1.3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consider the majority of the $1.1 billion unremitted earnings of our non-U.S. subsidiaries to be permanently reinvested. With regard to these unremitted earnings, we have not, nor do we anticipate the need to, repatriate funds to the U.S. to satisfy domestic liquidity needs arising in the ordinary course of business, including liquidity needs associated with our domestic debt service requirements. Determination of the amount of unrecognized deferred tax liability related to indefinitely reinvested earnings is not practicable due to our legal entity structure and the complexity of U.S. and local tax laws. With regard to the small portion of unremitted earnings that are not indefinitely reinvested, we maintain a deferred tax liability for foreign withholding and U.S. state income taxes. The deferred tax liability associated with unremitted earnings of our non-U.S. subsidiaries not permanently reinvested is $6.8 million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(excluding interest and penalty) is as follows as of June 30:</w:t>
      </w:r>
    </w:p>
    <w:tbl>
      <w:tblPr>
        <w:tblW w:w="8169" w:type="dxa"/>
        <w:jc w:val="left"/>
        <w:tblInd w:w="0" w:type="dxa"/>
        <w:tblLayout w:type="fixed"/>
        <w:tblCellMar>
          <w:top w:w="28" w:type="dxa"/>
          <w:left w:w="28" w:type="dxa"/>
          <w:bottom w:w="28" w:type="dxa"/>
          <w:right w:w="28" w:type="dxa"/>
        </w:tblCellMar>
      </w:tblPr>
      <w:tblGrid>
        <w:gridCol w:w="1567"/>
        <w:gridCol w:w="1380"/>
        <w:gridCol w:w="1388"/>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of 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for tax positions related to the 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lapse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total amount of unrecognized tax benefits that, if recognized, would affect the effective tax rate in 2026, 2025 and 2024 is $3.2 million, $1.7 million and $1.3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policy is to recognize interest and penalties related to income taxes as a component of the provision for income taxes in the consolidated statements of income. We recognized an increase of $0.7 million and $0.1 million in 2026 and 2025, respectively and a decrease of $0.9 million in 2024. As of June 30, 2026 and 2025, the amount of penalty accrued was $0.1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few exceptions, we are no longer subject to income tax examinations by tax authorities for years prior to 2019. The Internal Revenue Service has audited, or the statute of limitations has expired, for all U.S. tax years prior to 2023. Various state and foreign jurisdiction tax authorities are in the process of examining our income tax returns for various tax years ranging from 2019 to 2024. We continuously review our uncertain tax positions and evaluate any potential issues that may lead to an increase or decrease in the total amount of unrecognized tax benefits recorded.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14 — PENSION AND OTHER POSTRETIREMENT BENEFITS</w:t>
      </w:r>
    </w:p>
    <w:p>
      <w:pPr>
        <w:pStyle w:val="TextBody"/>
        <w:bidi w:val="0"/>
        <w:spacing w:lineRule="auto" w:line="288" w:before="120" w:after="283"/>
        <w:jc w:val="left"/>
        <w:rPr/>
      </w:pPr>
      <w:r>
        <w:rPr>
          <w:rFonts w:ascii="Times New Roman;serif" w:hAnsi="Times New Roman;serif"/>
          <w:b w:val="false"/>
          <w:i/>
          <w:color w:val="000000"/>
          <w:sz w:val="20"/>
        </w:rPr>
        <w:t xml:space="preserve">Defined Benefit Pension Plans. </w:t>
      </w:r>
      <w:r>
        <w:rPr>
          <w:rFonts w:ascii="Times New Roman;serif" w:hAnsi="Times New Roman;serif"/>
          <w:b w:val="false"/>
          <w:color w:val="000000"/>
          <w:sz w:val="20"/>
        </w:rPr>
        <w:t xml:space="preserve">We have defined benefit pension plans that cover certain employees in the U.S., Germany, the UK, Switzerland, India and Israel. Pension benefits under defined benefit pension plans are based on years of service and, for certain plans, on average compensation for specified years preceding retirement. We fund pension costs in accordance with the funding requirements of the Employee Retirement Income Security Act of 1974 (ERISA), as amended, for U.S. plans and in accordance with local regulations or customs for non-U.S. plans. The accrued benefit for all participants in the Kennametal Inc. Retirement Income Plan was frozen as of December 31, 2016. The majority of our defined benefit pension plans are closed to future participation.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an Executive Retirement Plan for certain executives and a Supplemental Executive Retirement Plan both of which were closed to future participation as of June 15, 2017 and July 26, 2006,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presently provide varying levels of postretirement health care and life insurance benefits to certain employees and retirees. By fiscal 2019, participants over the age of 65 were transitioned to a private exchange and some received a fixed Health Retirement Account (HRA) contribution to offset the cost of their coverage. Postretirement health and life benefits were closed to future participants as of December 31, 2016.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use a June 30 measurement date for all of our plans. During 2025, the Company completed the wind-up of its Canadian defined benefit pension plans and recorded a settlement charge of $0.8 million. During 2023 and 2025, the Company annuitized portions of its UK defined benefit pension plans through the purchase of full buy-in policies. The Company expects to progress to a buy-out and an eventual wind-up of the UK plans after completing customary procedures including obtaining relevant regulatory approvals. The wind-up of the UK plans is expected to occur in fiscal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funded status of our pension plans and amounts recognized in the consolidated balance sheets as of June 30 were as follows:</w:t>
      </w:r>
    </w:p>
    <w:tbl>
      <w:tblPr>
        <w:tblW w:w="7073" w:type="dxa"/>
        <w:jc w:val="left"/>
        <w:tblInd w:w="0" w:type="dxa"/>
        <w:tblLayout w:type="fixed"/>
        <w:tblCellMar>
          <w:top w:w="28" w:type="dxa"/>
          <w:left w:w="28" w:type="dxa"/>
          <w:bottom w:w="28" w:type="dxa"/>
          <w:right w:w="28" w:type="dxa"/>
        </w:tblCellMar>
      </w:tblPr>
      <w:tblGrid>
        <w:gridCol w:w="1594"/>
        <w:gridCol w:w="1404"/>
        <w:gridCol w:w="1411"/>
        <w:gridCol w:w="211"/>
        <w:gridCol w:w="826"/>
        <w:gridCol w:w="109"/>
        <w:gridCol w:w="109"/>
        <w:gridCol w:w="109"/>
        <w:gridCol w:w="109"/>
        <w:gridCol w:w="211"/>
        <w:gridCol w:w="826"/>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benefit obligation:</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expenses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amendments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end of year</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632,443 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669,030 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plans' assets: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plans'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plans'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contributions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settlements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expenses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plans' assets, end of year</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629,588 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of plans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the balance sheets consist of:</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prepaid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accrued benefit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(39,442)</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pre-tax amounts related to our defined benefit pension plans recognized in accumulated other comprehensive loss were as follows at June 30:</w:t>
      </w:r>
    </w:p>
    <w:tbl>
      <w:tblPr>
        <w:tblW w:w="5723" w:type="dxa"/>
        <w:jc w:val="left"/>
        <w:tblInd w:w="0" w:type="dxa"/>
        <w:tblLayout w:type="fixed"/>
        <w:tblCellMar>
          <w:top w:w="28" w:type="dxa"/>
          <w:left w:w="28" w:type="dxa"/>
          <w:bottom w:w="28" w:type="dxa"/>
          <w:right w:w="28" w:type="dxa"/>
        </w:tblCellMar>
      </w:tblPr>
      <w:tblGrid>
        <w:gridCol w:w="1106"/>
        <w:gridCol w:w="974"/>
        <w:gridCol w:w="979"/>
        <w:gridCol w:w="211"/>
        <w:gridCol w:w="826"/>
        <w:gridCol w:w="109"/>
        <w:gridCol w:w="109"/>
        <w:gridCol w:w="109"/>
        <w:gridCol w:w="109"/>
        <w:gridCol w:w="211"/>
        <w:gridCol w:w="82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actuarial losses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292,946 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prior service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the best of our knowledge and belief, the asset portfolios of our defined benefit pension plans do not contain our capital stock. Apart from the annuitization of the UK plans as previously mentioned, we do not issue insurance contracts to cover future annual benefits of defined benefit pension plan participants. The accumulated benefit obligation for all defined benefit pension plans was $629.9 million and $666.0 million as of June 30, 2026 and 2025,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Included in the above information are plans with accumulated benefit obligations exceeding the fair value of plan assets as of June 30 as follows:</w:t>
      </w:r>
    </w:p>
    <w:tbl>
      <w:tblPr>
        <w:tblW w:w="5379" w:type="dxa"/>
        <w:jc w:val="left"/>
        <w:tblInd w:w="0" w:type="dxa"/>
        <w:tblLayout w:type="fixed"/>
        <w:tblCellMar>
          <w:top w:w="28" w:type="dxa"/>
          <w:left w:w="28" w:type="dxa"/>
          <w:bottom w:w="28" w:type="dxa"/>
          <w:right w:w="28" w:type="dxa"/>
        </w:tblCellMar>
      </w:tblPr>
      <w:tblGrid>
        <w:gridCol w:w="982"/>
        <w:gridCol w:w="864"/>
        <w:gridCol w:w="869"/>
        <w:gridCol w:w="211"/>
        <w:gridCol w:w="826"/>
        <w:gridCol w:w="109"/>
        <w:gridCol w:w="109"/>
        <w:gridCol w:w="109"/>
        <w:gridCol w:w="109"/>
        <w:gridCol w:w="211"/>
        <w:gridCol w:w="826"/>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7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103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54"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pension income include the following as of June 30:</w:t>
      </w:r>
    </w:p>
    <w:tbl>
      <w:tblPr>
        <w:tblW w:w="6867" w:type="dxa"/>
        <w:jc w:val="left"/>
        <w:tblInd w:w="0" w:type="dxa"/>
        <w:tblLayout w:type="fixed"/>
        <w:tblCellMar>
          <w:top w:w="28" w:type="dxa"/>
          <w:left w:w="28" w:type="dxa"/>
          <w:bottom w:w="28" w:type="dxa"/>
          <w:right w:w="28" w:type="dxa"/>
        </w:tblCellMar>
      </w:tblPr>
      <w:tblGrid>
        <w:gridCol w:w="1188"/>
        <w:gridCol w:w="1046"/>
        <w:gridCol w:w="1051"/>
        <w:gridCol w:w="211"/>
        <w:gridCol w:w="616"/>
        <w:gridCol w:w="109"/>
        <w:gridCol w:w="109"/>
        <w:gridCol w:w="109"/>
        <w:gridCol w:w="109"/>
        <w:gridCol w:w="211"/>
        <w:gridCol w:w="616"/>
        <w:gridCol w:w="109"/>
        <w:gridCol w:w="109"/>
        <w:gridCol w:w="109"/>
        <w:gridCol w:w="109"/>
        <w:gridCol w:w="211"/>
        <w:gridCol w:w="691"/>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2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plans'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transition obligation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actuarial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expense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projected benefit payments, including future service accruals for these plans for 2027 through 2031, are $59.1 million, $56.9 million, $55.3 million, $54.3 million and $52.7 million, respectively, and $245.8 million in 2032 through 2036.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amounts of accumulated other comprehensive loss expected to be recognized in net periodic pension cost during 2027 related to net actuarial losses are $11.8 million. The amount of accumulated other comprehensive income expected to be recognized in net periodic pension cost during 2027 related to transition obligations and prior service cost is immaterial.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contribute approximately $10.0 million to our pension plans in 2027, which is primarily for international plans.</w:t>
      </w:r>
    </w:p>
    <w:p>
      <w:pPr>
        <w:pStyle w:val="TextBody"/>
        <w:bidi w:val="0"/>
        <w:spacing w:lineRule="auto" w:line="288" w:before="120" w:after="283"/>
        <w:jc w:val="left"/>
        <w:rPr/>
      </w:pPr>
      <w:r>
        <w:rPr>
          <w:rFonts w:ascii="Times New Roman;serif" w:hAnsi="Times New Roman;serif"/>
          <w:b w:val="false"/>
          <w:i/>
          <w:color w:val="000000"/>
          <w:sz w:val="20"/>
        </w:rPr>
        <w:t xml:space="preserve">Other Postretirement Benefit Plans. </w:t>
      </w:r>
      <w:r>
        <w:rPr>
          <w:rFonts w:ascii="Times New Roman;serif" w:hAnsi="Times New Roman;serif"/>
          <w:b w:val="false"/>
          <w:color w:val="000000"/>
          <w:sz w:val="20"/>
        </w:rPr>
        <w:t>The funded status of our other postretirement benefit plans and the related amounts recognized in the consolidated balance sheets were as follows:</w:t>
      </w:r>
    </w:p>
    <w:tbl>
      <w:tblPr>
        <w:tblW w:w="6803" w:type="dxa"/>
        <w:jc w:val="left"/>
        <w:tblInd w:w="0" w:type="dxa"/>
        <w:tblLayout w:type="fixed"/>
        <w:tblCellMar>
          <w:top w:w="28" w:type="dxa"/>
          <w:left w:w="28" w:type="dxa"/>
          <w:bottom w:w="28" w:type="dxa"/>
          <w:right w:w="28" w:type="dxa"/>
        </w:tblCellMar>
      </w:tblPr>
      <w:tblGrid>
        <w:gridCol w:w="1594"/>
        <w:gridCol w:w="1404"/>
        <w:gridCol w:w="1411"/>
        <w:gridCol w:w="211"/>
        <w:gridCol w:w="691"/>
        <w:gridCol w:w="109"/>
        <w:gridCol w:w="109"/>
        <w:gridCol w:w="109"/>
        <w:gridCol w:w="109"/>
        <w:gridCol w:w="211"/>
        <w:gridCol w:w="691"/>
        <w:gridCol w:w="154"/>
      </w:tblGrid>
      <w:tr>
        <w:trPr/>
        <w:tc>
          <w:tcPr>
            <w:tcW w:w="159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4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benefit obligation:</w:t>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end of year</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Funded status of plan</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the balance sheets consist of:</w:t>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accrued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postretirement benefits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 recognized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pre-tax amounts related to our other postretirement benefit plans which were recognized in accumulated other comprehensive loss were as follows at June 30:</w:t>
      </w:r>
    </w:p>
    <w:tbl>
      <w:tblPr>
        <w:tblW w:w="5438" w:type="dxa"/>
        <w:jc w:val="left"/>
        <w:tblInd w:w="0" w:type="dxa"/>
        <w:tblLayout w:type="fixed"/>
        <w:tblCellMar>
          <w:top w:w="28" w:type="dxa"/>
          <w:left w:w="28" w:type="dxa"/>
          <w:bottom w:w="28" w:type="dxa"/>
          <w:right w:w="28" w:type="dxa"/>
        </w:tblCellMar>
      </w:tblPr>
      <w:tblGrid>
        <w:gridCol w:w="1155"/>
        <w:gridCol w:w="1017"/>
        <w:gridCol w:w="1022"/>
        <w:gridCol w:w="211"/>
        <w:gridCol w:w="616"/>
        <w:gridCol w:w="109"/>
        <w:gridCol w:w="109"/>
        <w:gridCol w:w="109"/>
        <w:gridCol w:w="109"/>
        <w:gridCol w:w="211"/>
        <w:gridCol w:w="616"/>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1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actuarial losses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prior service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other postretirement benefit cost include the following for the years ended June 30:</w:t>
      </w:r>
    </w:p>
    <w:tbl>
      <w:tblPr>
        <w:tblW w:w="6852" w:type="dxa"/>
        <w:jc w:val="left"/>
        <w:tblInd w:w="0" w:type="dxa"/>
        <w:tblLayout w:type="fixed"/>
        <w:tblCellMar>
          <w:top w:w="28" w:type="dxa"/>
          <w:left w:w="28" w:type="dxa"/>
          <w:bottom w:w="28" w:type="dxa"/>
          <w:right w:w="28" w:type="dxa"/>
        </w:tblCellMar>
      </w:tblPr>
      <w:tblGrid>
        <w:gridCol w:w="1372"/>
        <w:gridCol w:w="1209"/>
        <w:gridCol w:w="1214"/>
        <w:gridCol w:w="211"/>
        <w:gridCol w:w="466"/>
        <w:gridCol w:w="109"/>
        <w:gridCol w:w="109"/>
        <w:gridCol w:w="109"/>
        <w:gridCol w:w="109"/>
        <w:gridCol w:w="211"/>
        <w:gridCol w:w="466"/>
        <w:gridCol w:w="109"/>
        <w:gridCol w:w="109"/>
        <w:gridCol w:w="109"/>
        <w:gridCol w:w="109"/>
        <w:gridCol w:w="211"/>
        <w:gridCol w:w="46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actuarial loss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other postretirement benefit cost</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projected benefit payments, including future service accruals for our other postretirement benefit plans for 2027 through 2031, are $0.9 million, $0.8 million, $0.7 million, $0.7 million and $0.6 million, respectively, and $2.4 million in 2032 through 2036.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of accumulated other comprehensive loss expected to be recognized in net periodic other postretirement benefits cost during 2027 related to net actuarial losses and related to prior service credit are costs of $0.1 million and income of $0.3 million, respectively.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expect to contribute $0.9 million to our other postretirement benefit plans in 2027.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service cost component of net periodic pension expense (income) of $1.1 million, $0.9 million and $1.2 million for 2026, 2025 and 2024, respectively, was reported as a component of cost of goods sold and operating expense. The other components of net periodic pension expense (income) and net periodic other postretirement benefit cost totaling a net expense of $6.4 million and $1.3 million for 2026 and 2025, respectively, and a net benefit of $2.9 million for 2024 were presented as a component of other income, net. </w:t>
      </w:r>
    </w:p>
    <w:p>
      <w:pPr>
        <w:pStyle w:val="TextBody"/>
        <w:bidi w:val="0"/>
        <w:spacing w:lineRule="auto" w:line="288" w:before="120" w:after="283"/>
        <w:jc w:val="left"/>
        <w:rPr/>
      </w:pPr>
      <w:r>
        <w:rPr>
          <w:rFonts w:ascii="Times New Roman;serif" w:hAnsi="Times New Roman;serif"/>
          <w:b w:val="false"/>
          <w:i/>
          <w:color w:val="000000"/>
          <w:sz w:val="20"/>
        </w:rPr>
        <w:t xml:space="preserve">Assumptions. </w:t>
      </w:r>
      <w:r>
        <w:rPr>
          <w:rFonts w:ascii="Times New Roman;serif" w:hAnsi="Times New Roman;serif"/>
          <w:b w:val="false"/>
          <w:color w:val="000000"/>
          <w:sz w:val="20"/>
        </w:rPr>
        <w:t>The significant actuarial assumptions used to determine the present value of net benefit obligations for our defined benefit pension plans and other postretirement benefit plans were as follows:</w:t>
      </w:r>
    </w:p>
    <w:tbl>
      <w:tblPr>
        <w:tblW w:w="6906" w:type="dxa"/>
        <w:jc w:val="left"/>
        <w:tblInd w:w="0" w:type="dxa"/>
        <w:tblLayout w:type="fixed"/>
        <w:tblCellMar>
          <w:top w:w="28" w:type="dxa"/>
          <w:left w:w="28" w:type="dxa"/>
          <w:bottom w:w="28" w:type="dxa"/>
          <w:right w:w="28" w:type="dxa"/>
        </w:tblCellMar>
      </w:tblPr>
      <w:tblGrid>
        <w:gridCol w:w="1336"/>
        <w:gridCol w:w="1172"/>
        <w:gridCol w:w="1181"/>
        <w:gridCol w:w="279"/>
        <w:gridCol w:w="279"/>
        <w:gridCol w:w="281"/>
        <w:gridCol w:w="109"/>
        <w:gridCol w:w="109"/>
        <w:gridCol w:w="109"/>
        <w:gridCol w:w="279"/>
        <w:gridCol w:w="279"/>
        <w:gridCol w:w="281"/>
        <w:gridCol w:w="109"/>
        <w:gridCol w:w="109"/>
        <w:gridCol w:w="109"/>
        <w:gridCol w:w="259"/>
        <w:gridCol w:w="259"/>
        <w:gridCol w:w="367"/>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8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plans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5.7-5.8%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plans</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1.3-7.2%</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 of future salary increases:</w:t>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plans (Executive Retirement Plan only)</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68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plans</w:t>
            </w:r>
          </w:p>
        </w:tc>
        <w:tc>
          <w:tcPr>
            <w:tcW w:w="83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1.8-8.0%</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significant assumptions used to determine the net periodic expense (income) for our pension and other postretirement benefit plans were as follows:</w:t>
      </w:r>
    </w:p>
    <w:tbl>
      <w:tblPr>
        <w:tblW w:w="6906" w:type="dxa"/>
        <w:jc w:val="left"/>
        <w:tblInd w:w="0" w:type="dxa"/>
        <w:tblLayout w:type="fixed"/>
        <w:tblCellMar>
          <w:top w:w="28" w:type="dxa"/>
          <w:left w:w="28" w:type="dxa"/>
          <w:bottom w:w="28" w:type="dxa"/>
          <w:right w:w="28" w:type="dxa"/>
        </w:tblCellMar>
      </w:tblPr>
      <w:tblGrid>
        <w:gridCol w:w="1336"/>
        <w:gridCol w:w="1172"/>
        <w:gridCol w:w="1181"/>
        <w:gridCol w:w="279"/>
        <w:gridCol w:w="279"/>
        <w:gridCol w:w="281"/>
        <w:gridCol w:w="109"/>
        <w:gridCol w:w="109"/>
        <w:gridCol w:w="109"/>
        <w:gridCol w:w="279"/>
        <w:gridCol w:w="279"/>
        <w:gridCol w:w="281"/>
        <w:gridCol w:w="109"/>
        <w:gridCol w:w="109"/>
        <w:gridCol w:w="109"/>
        <w:gridCol w:w="259"/>
        <w:gridCol w:w="259"/>
        <w:gridCol w:w="367"/>
      </w:tblGrid>
      <w:tr>
        <w:trPr/>
        <w:tc>
          <w:tcPr>
            <w:tcW w:w="1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6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8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plans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4.7-5.6%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5.6-6.3%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plans</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1.8-7.3%</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 of future salary increases:</w:t>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plans (Executive Retirement Plan only)</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plans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1.8-8.0%</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of return on plans assets:</w:t>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plans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36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plans</w:t>
            </w:r>
          </w:p>
        </w:tc>
        <w:tc>
          <w:tcPr>
            <w:tcW w:w="8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1.8-7.3%</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rates of return on plan assets are based on historical performance, as well as future expected returns by asset class considering macroeconomic conditions, current portfolio mix, long-term investment strategy and other available relevant information. </w:t>
      </w:r>
    </w:p>
    <w:p>
      <w:pPr>
        <w:pStyle w:val="TextBody"/>
        <w:bidi w:val="0"/>
        <w:spacing w:lineRule="auto" w:line="288" w:before="120" w:after="283"/>
        <w:jc w:val="left"/>
        <w:rPr/>
      </w:pPr>
      <w:r>
        <w:rPr>
          <w:rFonts w:ascii="Times New Roman;serif" w:hAnsi="Times New Roman;serif"/>
          <w:b w:val="false"/>
          <w:i/>
          <w:color w:val="000000"/>
          <w:sz w:val="20"/>
        </w:rPr>
        <w:t xml:space="preserve">Plan Assets. </w:t>
      </w:r>
      <w:r>
        <w:rPr>
          <w:rFonts w:ascii="Times New Roman;serif" w:hAnsi="Times New Roman;serif"/>
          <w:b w:val="false"/>
          <w:color w:val="000000"/>
          <w:sz w:val="20"/>
        </w:rPr>
        <w:t>The primary objective of certain of our pension plans' investment policies is to ensure that sufficient assets are available to provide the benefit obligations at the time the obligations come due. The overall investment strategy for the defined benefit pension plans' assets combines considerations of preservation of principal and moderate risk-taking. The assumption of an acceptable level of risk is warranted in order to achieve satisfactory results consistent with the long-term objectives of the portfolio. Fixed income securities comprise a significant portion of the portfolio due to their plan-liability-matching characteristics and to address the plans' cash flow requirements. Additionally, diversification of investments within each asset class is utilized to further reduce the effect of losses in single 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Investment management practices for U.S. defined benefit pension plans must comply with ERISA and all applicable regulations and rulings thereof. The use of derivative instruments is permitted where appropriate and necessary for achieving overall investment policy objectives. Currently, the use of derivative instruments is not significant when compared to the overall investment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utilizes a liability driven investment strategy (LDI) for the assets of its U.S. defined benefit pension plans in order to reduce the volatility of the funded status of these plans and to meet the obligations at an acceptable cost over the long term. This LDI strategy entails modifying the asset allocation and duration of the assets of the plans to more closely match the liability profile of these plans. The asset reallocation involves increasing the fixed income allocation, reducing the equity component and adding alternative investments. Longer duration interest rate swaps have been utilized periodically in order to increase the overall duration of the asset portfolio to more closely match the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defined benefit pension plans’ asset allocations as of June 30, 2026 and 2025 and target allocations for 2027, by asset class, were as follows:</w:t>
      </w:r>
    </w:p>
    <w:tbl>
      <w:tblPr>
        <w:tblW w:w="4076" w:type="dxa"/>
        <w:jc w:val="left"/>
        <w:tblInd w:w="0" w:type="dxa"/>
        <w:tblLayout w:type="fixed"/>
        <w:tblCellMar>
          <w:top w:w="28" w:type="dxa"/>
          <w:left w:w="28" w:type="dxa"/>
          <w:bottom w:w="28" w:type="dxa"/>
          <w:right w:w="28" w:type="dxa"/>
        </w:tblCellMar>
      </w:tblPr>
      <w:tblGrid>
        <w:gridCol w:w="445"/>
        <w:gridCol w:w="390"/>
        <w:gridCol w:w="394"/>
        <w:gridCol w:w="180"/>
        <w:gridCol w:w="181"/>
        <w:gridCol w:w="292"/>
        <w:gridCol w:w="109"/>
        <w:gridCol w:w="109"/>
        <w:gridCol w:w="109"/>
        <w:gridCol w:w="180"/>
        <w:gridCol w:w="181"/>
        <w:gridCol w:w="292"/>
        <w:gridCol w:w="109"/>
        <w:gridCol w:w="109"/>
        <w:gridCol w:w="109"/>
        <w:gridCol w:w="180"/>
        <w:gridCol w:w="181"/>
        <w:gridCol w:w="52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Target %</w:t>
            </w:r>
          </w:p>
        </w:tc>
      </w:tr>
      <w:tr>
        <w:trPr/>
        <w:tc>
          <w:tcPr>
            <w:tcW w:w="122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sections describe the valuation methodologies used to measure the fair value of the defined benefit pension plan assets, including an indication of the level in the fair value hierarchy in which each type of asset is generally classified (see Note 5 for the definition of fair value and a description of the fair value hierarchy).</w:t>
      </w:r>
    </w:p>
    <w:p>
      <w:pPr>
        <w:pStyle w:val="TextBody"/>
        <w:bidi w:val="0"/>
        <w:spacing w:lineRule="auto" w:line="288" w:before="120" w:after="283"/>
        <w:jc w:val="left"/>
        <w:rPr/>
      </w:pPr>
      <w:r>
        <w:rPr>
          <w:rFonts w:ascii="Times New Roman;serif" w:hAnsi="Times New Roman;serif"/>
          <w:b w:val="false"/>
          <w:i/>
          <w:color w:val="000000"/>
          <w:sz w:val="20"/>
        </w:rPr>
        <w:t>Corporate fixed income securities.</w:t>
      </w:r>
      <w:r>
        <w:rPr>
          <w:color w:val="000000"/>
        </w:rPr>
        <w:t xml:space="preserve"> </w:t>
      </w:r>
      <w:r>
        <w:rPr>
          <w:rFonts w:ascii="Times New Roman;serif" w:hAnsi="Times New Roman;serif"/>
          <w:b w:val="false"/>
          <w:color w:val="000000"/>
          <w:sz w:val="20"/>
        </w:rPr>
        <w:t>Investments in corporate fixed income securities consist of corporate debt and asset backed securities. These investments are classified as level two and are valued using independent observable market inputs such as the treasury curve, swap curve and yield curve.</w:t>
      </w:r>
    </w:p>
    <w:p>
      <w:pPr>
        <w:pStyle w:val="TextBody"/>
        <w:bidi w:val="0"/>
        <w:spacing w:lineRule="auto" w:line="288" w:before="120" w:after="283"/>
        <w:jc w:val="left"/>
        <w:rPr/>
      </w:pPr>
      <w:r>
        <w:rPr>
          <w:rFonts w:ascii="Times New Roman;serif" w:hAnsi="Times New Roman;serif"/>
          <w:b w:val="false"/>
          <w:i/>
          <w:color w:val="000000"/>
          <w:sz w:val="20"/>
        </w:rPr>
        <w:t>Common stock.</w:t>
      </w:r>
      <w:r>
        <w:rPr>
          <w:color w:val="000000"/>
        </w:rPr>
        <w:t xml:space="preserve"> </w:t>
      </w:r>
      <w:r>
        <w:rPr>
          <w:rFonts w:ascii="Times New Roman;serif" w:hAnsi="Times New Roman;serif"/>
          <w:b w:val="false"/>
          <w:color w:val="000000"/>
          <w:sz w:val="20"/>
        </w:rPr>
        <w:t>Common stocks are classified as level one and are valued at their quoted market price.</w:t>
      </w:r>
    </w:p>
    <w:p>
      <w:pPr>
        <w:pStyle w:val="TextBody"/>
        <w:bidi w:val="0"/>
        <w:spacing w:lineRule="auto" w:line="288" w:before="120" w:after="283"/>
        <w:jc w:val="left"/>
        <w:rPr/>
      </w:pPr>
      <w:r>
        <w:rPr>
          <w:rFonts w:ascii="Times New Roman;serif" w:hAnsi="Times New Roman;serif"/>
          <w:b w:val="false"/>
          <w:i/>
          <w:color w:val="000000"/>
          <w:sz w:val="20"/>
        </w:rPr>
        <w:t>Government securities.</w:t>
      </w:r>
      <w:r>
        <w:rPr>
          <w:color w:val="000000"/>
        </w:rPr>
        <w:t xml:space="preserve"> </w:t>
      </w:r>
      <w:r>
        <w:rPr>
          <w:rFonts w:ascii="Times New Roman;serif" w:hAnsi="Times New Roman;serif"/>
          <w:b w:val="false"/>
          <w:color w:val="000000"/>
          <w:sz w:val="20"/>
        </w:rPr>
        <w:t>Investments in government securities consist of fixed income securities such as U.S. government and agency obligations and foreign government bonds and asset and mortgage backed securities such as obligations issued by government sponsored organizations. These investments are classified as level two and are valued using independent observable market inputs such as the treasury curve, credit spreads and interest rates.</w:t>
      </w:r>
    </w:p>
    <w:p>
      <w:pPr>
        <w:pStyle w:val="TextBody"/>
        <w:bidi w:val="0"/>
        <w:spacing w:lineRule="auto" w:line="288" w:before="120" w:after="283"/>
        <w:jc w:val="left"/>
        <w:rPr/>
      </w:pPr>
      <w:r>
        <w:rPr>
          <w:rFonts w:ascii="Times New Roman;serif" w:hAnsi="Times New Roman;serif"/>
          <w:b w:val="false"/>
          <w:i/>
          <w:color w:val="000000"/>
          <w:sz w:val="20"/>
        </w:rPr>
        <w:t>Other fixed income securities</w:t>
      </w:r>
      <w:r>
        <w:rPr>
          <w:color w:val="000000"/>
        </w:rPr>
        <w:t xml:space="preserve"> </w:t>
      </w:r>
      <w:r>
        <w:rPr>
          <w:rFonts w:ascii="Times New Roman;serif" w:hAnsi="Times New Roman;serif"/>
          <w:b w:val="false"/>
          <w:color w:val="000000"/>
          <w:sz w:val="20"/>
        </w:rPr>
        <w:t>Investments in other fixed income securities are classified as level two and valued based on observable market data.</w:t>
      </w:r>
    </w:p>
    <w:p>
      <w:pPr>
        <w:pStyle w:val="TextBody"/>
        <w:bidi w:val="0"/>
        <w:spacing w:lineRule="auto" w:line="288" w:before="120" w:after="283"/>
        <w:jc w:val="left"/>
        <w:rPr/>
      </w:pPr>
      <w:r>
        <w:rPr>
          <w:rFonts w:ascii="Times New Roman;serif" w:hAnsi="Times New Roman;serif"/>
          <w:b w:val="false"/>
          <w:i/>
          <w:color w:val="000000"/>
          <w:sz w:val="20"/>
        </w:rPr>
        <w:t>Other.</w:t>
      </w:r>
      <w:r>
        <w:rPr>
          <w:color w:val="000000"/>
        </w:rPr>
        <w:t xml:space="preserve"> </w:t>
      </w:r>
      <w:r>
        <w:rPr>
          <w:rFonts w:ascii="Times New Roman;serif" w:hAnsi="Times New Roman;serif"/>
          <w:b w:val="false"/>
          <w:color w:val="000000"/>
          <w:sz w:val="20"/>
        </w:rPr>
        <w:t>Other investments consist primarily of state and local obligations and short term investments including cash, corporate notes, and various short term debt instruments which can be redeemed within a nominal redemption notice period. These investments are primarily classified as level two and are valued using independent observable market inputs.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fair value methods described may not be reflective of future fair values. Additionally, while the Company believes the valuation methods are appropriate and consistent with other market participants, the use of different methodologies or assumptions to determine the fair value of certain financial instruments could result in different fair value measurement at the reporting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benefit plans' assets by asset category as of June 30, 2026:</w:t>
      </w:r>
    </w:p>
    <w:tbl>
      <w:tblPr>
        <w:tblW w:w="8988" w:type="dxa"/>
        <w:jc w:val="left"/>
        <w:tblInd w:w="0" w:type="dxa"/>
        <w:tblLayout w:type="fixed"/>
        <w:tblCellMar>
          <w:top w:w="28" w:type="dxa"/>
          <w:left w:w="28" w:type="dxa"/>
          <w:bottom w:w="28" w:type="dxa"/>
          <w:right w:w="28" w:type="dxa"/>
        </w:tblCellMar>
      </w:tblPr>
      <w:tblGrid>
        <w:gridCol w:w="1031"/>
        <w:gridCol w:w="907"/>
        <w:gridCol w:w="912"/>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NAV</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 collective trusts </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Blend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fixed income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 income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614,576 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the benefit plans' assets by asset category as of June 30, 2025:</w:t>
      </w:r>
    </w:p>
    <w:tbl>
      <w:tblPr>
        <w:tblW w:w="8988" w:type="dxa"/>
        <w:jc w:val="left"/>
        <w:tblInd w:w="0" w:type="dxa"/>
        <w:tblLayout w:type="fixed"/>
        <w:tblCellMar>
          <w:top w:w="28" w:type="dxa"/>
          <w:left w:w="28" w:type="dxa"/>
          <w:bottom w:w="28" w:type="dxa"/>
          <w:right w:w="28" w:type="dxa"/>
        </w:tblCellMar>
      </w:tblPr>
      <w:tblGrid>
        <w:gridCol w:w="1031"/>
        <w:gridCol w:w="907"/>
        <w:gridCol w:w="912"/>
        <w:gridCol w:w="211"/>
        <w:gridCol w:w="406"/>
        <w:gridCol w:w="109"/>
        <w:gridCol w:w="109"/>
        <w:gridCol w:w="109"/>
        <w:gridCol w:w="10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NAV</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5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Common / collective trusts </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Blend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fixed income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securities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fixed income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542,896 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629,588 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Investments in common / collective trusts invest primarily in publicly traded securities and are valued using net asset value (NAV) of units of a bank collective trust. Therefore, these amounts have not been classified in the fair value hierarchy and are presented in the tables to reconcile the fair value hierarchy to the total fair value of plan assets. </w:t>
      </w:r>
    </w:p>
    <w:p>
      <w:pPr>
        <w:pStyle w:val="TextBody"/>
        <w:bidi w:val="0"/>
        <w:spacing w:lineRule="auto" w:line="288" w:before="120" w:after="283"/>
        <w:jc w:val="left"/>
        <w:rPr/>
      </w:pPr>
      <w:r>
        <w:rPr>
          <w:rFonts w:ascii="Times New Roman;serif" w:hAnsi="Times New Roman;serif"/>
          <w:b w:val="false"/>
          <w:i/>
          <w:color w:val="000000"/>
          <w:sz w:val="20"/>
        </w:rPr>
        <w:t xml:space="preserve">Defined Contribution Plans. </w:t>
      </w:r>
      <w:r>
        <w:rPr>
          <w:rFonts w:ascii="Times New Roman;serif" w:hAnsi="Times New Roman;serif"/>
          <w:b w:val="false"/>
          <w:color w:val="000000"/>
          <w:sz w:val="20"/>
        </w:rPr>
        <w:t>We sponsor several defined contribution retirement plans. Costs for defined contribution plans were $16.3 million, $16.5 million and $16.3 million in 2026, 2025 and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U.S. employees are eligible to participate in the Kennametal Thrift Plus Plan (Thrift), which is a qualified defined contribution plan under section 401(k) of the Internal Revenue Code. Under the Thrift, eligible employees receive a full match of their contributions up to 6 percent of eligible compensation.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contributions, including the company match and discretionary, are made in cash and invested in accordance with participants’ investment elections. There are no minimum amounts that must be invested in company stock, and there are no restrictions on transferring amounts out of company stock to another investment choice, other than excessive trading rules applicable to such investments. Employee contributions and our matching and discretionary contributions vest immediately as of the participants' employment dates.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15 — ACCUMULATED OTHER COMPREHENSIVE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and changes in accumulated other comprehensive loss (AOCL) were as follows, net of tax, for the year ended June 30, 2026 (in thousands):</w:t>
      </w:r>
    </w:p>
    <w:tbl>
      <w:tblPr>
        <w:tblW w:w="10205" w:type="dxa"/>
        <w:jc w:val="center"/>
        <w:tblInd w:w="0" w:type="dxa"/>
        <w:tblLayout w:type="fixed"/>
        <w:tblCellMar>
          <w:top w:w="28" w:type="dxa"/>
          <w:left w:w="28" w:type="dxa"/>
          <w:bottom w:w="28" w:type="dxa"/>
          <w:right w:w="28" w:type="dxa"/>
        </w:tblCellMar>
      </w:tblPr>
      <w:tblGrid>
        <w:gridCol w:w="1308"/>
        <w:gridCol w:w="1032"/>
        <w:gridCol w:w="1035"/>
        <w:gridCol w:w="454"/>
        <w:gridCol w:w="1820"/>
        <w:gridCol w:w="238"/>
        <w:gridCol w:w="356"/>
        <w:gridCol w:w="1498"/>
        <w:gridCol w:w="184"/>
        <w:gridCol w:w="233"/>
        <w:gridCol w:w="681"/>
        <w:gridCol w:w="122"/>
        <w:gridCol w:w="211"/>
        <w:gridCol w:w="874"/>
        <w:gridCol w:w="159"/>
      </w:tblGrid>
      <w:tr>
        <w:trPr/>
        <w:tc>
          <w:tcPr>
            <w:tcW w:w="130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Attributable to Kennametal:</w:t>
            </w:r>
          </w:p>
        </w:tc>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3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(223,016)</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(165,859)</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(386,693)</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other comprehensive income (loss) </w:t>
            </w:r>
          </w:p>
        </w:tc>
        <w:tc>
          <w:tcPr>
            <w:tcW w:w="22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15,159 </w:t>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AOCL, June 30, 2026</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(207,857)</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(192,592)</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(399,030)</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Attributable to noncontrolling interests:</w:t>
            </w:r>
          </w:p>
        </w:tc>
        <w:tc>
          <w:tcPr>
            <w:tcW w:w="2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w:t>
            </w:r>
          </w:p>
        </w:tc>
        <w:tc>
          <w:tcPr>
            <w:tcW w:w="22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AOCL, June 30, 2026</w:t>
            </w:r>
          </w:p>
        </w:tc>
        <w:tc>
          <w:tcPr>
            <w:tcW w:w="4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w:t>
            </w:r>
          </w:p>
        </w:tc>
        <w:tc>
          <w:tcPr>
            <w:tcW w:w="1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and changes in AOCL were as follows, net of tax, for the year ended June 30, 2025 (in thousands):</w:t>
      </w:r>
    </w:p>
    <w:tbl>
      <w:tblPr>
        <w:tblW w:w="10205" w:type="dxa"/>
        <w:jc w:val="center"/>
        <w:tblInd w:w="0" w:type="dxa"/>
        <w:tblLayout w:type="fixed"/>
        <w:tblCellMar>
          <w:top w:w="28" w:type="dxa"/>
          <w:left w:w="28" w:type="dxa"/>
          <w:bottom w:w="28" w:type="dxa"/>
          <w:right w:w="28" w:type="dxa"/>
        </w:tblCellMar>
      </w:tblPr>
      <w:tblGrid>
        <w:gridCol w:w="1308"/>
        <w:gridCol w:w="1032"/>
        <w:gridCol w:w="1035"/>
        <w:gridCol w:w="454"/>
        <w:gridCol w:w="1820"/>
        <w:gridCol w:w="238"/>
        <w:gridCol w:w="356"/>
        <w:gridCol w:w="1498"/>
        <w:gridCol w:w="184"/>
        <w:gridCol w:w="233"/>
        <w:gridCol w:w="681"/>
        <w:gridCol w:w="122"/>
        <w:gridCol w:w="211"/>
        <w:gridCol w:w="874"/>
        <w:gridCol w:w="159"/>
      </w:tblGrid>
      <w:tr>
        <w:trPr/>
        <w:tc>
          <w:tcPr>
            <w:tcW w:w="1308"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Attributable to Kennametal:</w:t>
            </w:r>
          </w:p>
        </w:tc>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3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(221,308)</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(216,263)</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(434,588)</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 income</w:t>
            </w:r>
          </w:p>
        </w:tc>
        <w:tc>
          <w:tcPr>
            <w:tcW w:w="22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w:t>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50,404 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47,893 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AOCL, June 30, 2025</w:t>
            </w:r>
          </w:p>
        </w:tc>
        <w:tc>
          <w:tcPr>
            <w:tcW w:w="4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(223,016)</w:t>
            </w:r>
          </w:p>
        </w:tc>
        <w:tc>
          <w:tcPr>
            <w:tcW w:w="2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(165,859)</w:t>
            </w:r>
          </w:p>
        </w:tc>
        <w:tc>
          <w:tcPr>
            <w:tcW w:w="18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(386,693)</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Attributable to noncontrolling interests:</w:t>
            </w:r>
          </w:p>
        </w:tc>
        <w:tc>
          <w:tcPr>
            <w:tcW w:w="2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w:t>
            </w:r>
          </w:p>
        </w:tc>
        <w:tc>
          <w:tcPr>
            <w:tcW w:w="227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5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AOCL, June 30, 2025</w:t>
            </w:r>
          </w:p>
        </w:tc>
        <w:tc>
          <w:tcPr>
            <w:tcW w:w="4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w:t>
            </w:r>
          </w:p>
        </w:tc>
        <w:tc>
          <w:tcPr>
            <w:tcW w:w="18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w:t>
            </w:r>
          </w:p>
        </w:tc>
        <w:tc>
          <w:tcPr>
            <w:tcW w:w="1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and changes in AOCL were as follows, net of tax, for the year ended June 30, 2024 (in thousands):</w:t>
      </w:r>
    </w:p>
    <w:tbl>
      <w:tblPr>
        <w:tblW w:w="10205" w:type="dxa"/>
        <w:jc w:val="center"/>
        <w:tblInd w:w="0" w:type="dxa"/>
        <w:tblLayout w:type="fixed"/>
        <w:tblCellMar>
          <w:top w:w="28" w:type="dxa"/>
          <w:left w:w="28" w:type="dxa"/>
          <w:bottom w:w="28" w:type="dxa"/>
          <w:right w:w="28" w:type="dxa"/>
        </w:tblCellMar>
      </w:tblPr>
      <w:tblGrid>
        <w:gridCol w:w="1203"/>
        <w:gridCol w:w="958"/>
        <w:gridCol w:w="960"/>
        <w:gridCol w:w="481"/>
        <w:gridCol w:w="1926"/>
        <w:gridCol w:w="251"/>
        <w:gridCol w:w="374"/>
        <w:gridCol w:w="1576"/>
        <w:gridCol w:w="193"/>
        <w:gridCol w:w="233"/>
        <w:gridCol w:w="681"/>
        <w:gridCol w:w="122"/>
        <w:gridCol w:w="211"/>
        <w:gridCol w:w="878"/>
        <w:gridCol w:w="158"/>
      </w:tblGrid>
      <w:tr>
        <w:trPr/>
        <w:tc>
          <w:tcPr>
            <w:tcW w:w="120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Attributable to Kennametal:</w:t>
            </w:r>
          </w:p>
        </w:tc>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1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2023</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(215,435)</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(202,641)</w:t>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(414,343)</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2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w:t>
            </w:r>
          </w:p>
        </w:tc>
        <w:tc>
          <w:tcPr>
            <w:tcW w:w="2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w:t>
            </w:r>
          </w:p>
        </w:tc>
        <w:tc>
          <w:tcPr>
            <w:tcW w:w="24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w:t>
            </w:r>
          </w:p>
        </w:tc>
        <w:tc>
          <w:tcPr>
            <w:tcW w:w="19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c>
          <w:tcPr>
            <w:tcW w:w="2143"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AOCL, June 30, 2024</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(221,308)</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(216,263)</w:t>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(434,588)</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Attributable to noncontrolling interests:</w:t>
            </w:r>
          </w:p>
        </w:tc>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2023</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reclassifications</w:t>
            </w:r>
          </w:p>
        </w:tc>
        <w:tc>
          <w:tcPr>
            <w:tcW w:w="2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w:t>
            </w:r>
          </w:p>
        </w:tc>
        <w:tc>
          <w:tcPr>
            <w:tcW w:w="240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9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1"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AOCL, June 30, 2024</w:t>
            </w:r>
          </w:p>
        </w:tc>
        <w:tc>
          <w:tcPr>
            <w:tcW w:w="4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w:t>
            </w:r>
          </w:p>
        </w:tc>
        <w:tc>
          <w:tcPr>
            <w:tcW w:w="19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out of AOCL for the years ended June 30, 2026, 2025 and 2024 consisted of the following:</w:t>
      </w:r>
    </w:p>
    <w:tbl>
      <w:tblPr>
        <w:tblW w:w="10188" w:type="dxa"/>
        <w:jc w:val="center"/>
        <w:tblInd w:w="0" w:type="dxa"/>
        <w:tblLayout w:type="fixed"/>
        <w:tblCellMar>
          <w:top w:w="28" w:type="dxa"/>
          <w:left w:w="28" w:type="dxa"/>
          <w:bottom w:w="28" w:type="dxa"/>
          <w:right w:w="28" w:type="dxa"/>
        </w:tblCellMar>
      </w:tblPr>
      <w:tblGrid>
        <w:gridCol w:w="1281"/>
        <w:gridCol w:w="1128"/>
        <w:gridCol w:w="1131"/>
        <w:gridCol w:w="211"/>
        <w:gridCol w:w="691"/>
        <w:gridCol w:w="109"/>
        <w:gridCol w:w="211"/>
        <w:gridCol w:w="691"/>
        <w:gridCol w:w="109"/>
        <w:gridCol w:w="211"/>
        <w:gridCol w:w="691"/>
        <w:gridCol w:w="109"/>
        <w:gridCol w:w="1057"/>
        <w:gridCol w:w="1057"/>
        <w:gridCol w:w="1501"/>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 June 30,</w:t>
            </w:r>
          </w:p>
        </w:tc>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Details about AOCL components </w:t>
              <w:br/>
              <w:t>(in thousands)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Affected line item in the Income Statement</w:t>
            </w:r>
          </w:p>
        </w:tc>
      </w:tr>
      <w:tr>
        <w:trPr/>
        <w:tc>
          <w:tcPr>
            <w:tcW w:w="35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and losses on cash flow hedges:</w:t>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starting 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contracts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r>
      <w:tr>
        <w:trPr/>
        <w:tc>
          <w:tcPr>
            <w:tcW w:w="35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54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transition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credit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actuarial losses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r>
      <w:tr>
        <w:trPr/>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3540"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amount of income tax allocated to each component of other comprehensive loss for the year ended June 30, 2026:</w:t>
      </w:r>
    </w:p>
    <w:tbl>
      <w:tblPr>
        <w:tblW w:w="10205" w:type="dxa"/>
        <w:jc w:val="center"/>
        <w:tblInd w:w="0" w:type="dxa"/>
        <w:tblLayout w:type="fixed"/>
        <w:tblCellMar>
          <w:top w:w="28" w:type="dxa"/>
          <w:left w:w="28" w:type="dxa"/>
          <w:bottom w:w="28" w:type="dxa"/>
          <w:right w:w="28" w:type="dxa"/>
        </w:tblCellMar>
      </w:tblPr>
      <w:tblGrid>
        <w:gridCol w:w="2579"/>
        <w:gridCol w:w="2180"/>
        <w:gridCol w:w="2189"/>
        <w:gridCol w:w="211"/>
        <w:gridCol w:w="782"/>
        <w:gridCol w:w="109"/>
        <w:gridCol w:w="212"/>
        <w:gridCol w:w="682"/>
        <w:gridCol w:w="109"/>
        <w:gridCol w:w="211"/>
        <w:gridCol w:w="782"/>
        <w:gridCol w:w="159"/>
      </w:tblGrid>
      <w:tr>
        <w:trPr/>
        <w:tc>
          <w:tcPr>
            <w:tcW w:w="257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Tax impact</w:t>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Net of tax</w:t>
            </w:r>
          </w:p>
        </w:tc>
      </w:tr>
      <w:tr>
        <w:trPr/>
        <w:tc>
          <w:tcPr>
            <w:tcW w:w="694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 designated and qualified as cash flow hedges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gain on expired derivatives designated and qualified as cash flow hedges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pension and other postretirement benefit plans gain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pension and other postretirement benefit plans loss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8"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(14,578)</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amount of income tax allocated to each component of other comprehensive income for the year ended June 30, 2025:</w:t>
      </w:r>
    </w:p>
    <w:tbl>
      <w:tblPr>
        <w:tblW w:w="10205" w:type="dxa"/>
        <w:jc w:val="center"/>
        <w:tblInd w:w="0" w:type="dxa"/>
        <w:tblLayout w:type="fixed"/>
        <w:tblCellMar>
          <w:top w:w="28" w:type="dxa"/>
          <w:left w:w="28" w:type="dxa"/>
          <w:bottom w:w="28" w:type="dxa"/>
          <w:right w:w="28" w:type="dxa"/>
        </w:tblCellMar>
      </w:tblPr>
      <w:tblGrid>
        <w:gridCol w:w="2627"/>
        <w:gridCol w:w="2230"/>
        <w:gridCol w:w="2242"/>
        <w:gridCol w:w="211"/>
        <w:gridCol w:w="721"/>
        <w:gridCol w:w="109"/>
        <w:gridCol w:w="242"/>
        <w:gridCol w:w="609"/>
        <w:gridCol w:w="125"/>
        <w:gridCol w:w="211"/>
        <w:gridCol w:w="721"/>
        <w:gridCol w:w="157"/>
      </w:tblGrid>
      <w:tr>
        <w:trPr/>
        <w:tc>
          <w:tcPr>
            <w:tcW w:w="2627"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Tax impact</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of tax</w:t>
            </w:r>
          </w:p>
        </w:tc>
      </w:tr>
      <w:tr>
        <w:trPr/>
        <w:tc>
          <w:tcPr>
            <w:tcW w:w="70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derivatives designated and qualified as cash flow hedges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gain on expired derivatives designated and qualified as cash flow hedges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pension and other postretirement benefit plans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pension and other postretirement benefit plans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48,729 </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amount of income tax allocated to each component of other comprehensive loss for the year ended June 30, 2024:</w:t>
      </w:r>
    </w:p>
    <w:tbl>
      <w:tblPr>
        <w:tblW w:w="10205" w:type="dxa"/>
        <w:jc w:val="center"/>
        <w:tblInd w:w="0" w:type="dxa"/>
        <w:tblLayout w:type="fixed"/>
        <w:tblCellMar>
          <w:top w:w="28" w:type="dxa"/>
          <w:left w:w="28" w:type="dxa"/>
          <w:bottom w:w="28" w:type="dxa"/>
          <w:right w:w="28" w:type="dxa"/>
        </w:tblCellMar>
      </w:tblPr>
      <w:tblGrid>
        <w:gridCol w:w="2580"/>
        <w:gridCol w:w="2181"/>
        <w:gridCol w:w="2191"/>
        <w:gridCol w:w="211"/>
        <w:gridCol w:w="782"/>
        <w:gridCol w:w="109"/>
        <w:gridCol w:w="225"/>
        <w:gridCol w:w="659"/>
        <w:gridCol w:w="116"/>
        <w:gridCol w:w="211"/>
        <w:gridCol w:w="782"/>
        <w:gridCol w:w="158"/>
      </w:tblGrid>
      <w:tr>
        <w:trPr/>
        <w:tc>
          <w:tcPr>
            <w:tcW w:w="2580"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Tax impact</w:t>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of tax</w:t>
            </w:r>
          </w:p>
        </w:tc>
      </w:tr>
      <w:tr>
        <w:trPr/>
        <w:tc>
          <w:tcPr>
            <w:tcW w:w="6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derivatives designated and qualified as cash flow hedges</w:t>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unrealized gain on expired derivatives designated and qualified as cash flow hedges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pension and other postretirement benefit plans loss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net pension and other postretirement benefit plans loss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NOTE 16 — RESTRUCTURING AND OTHER CHARGES,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January 2025, we announced several actions to support the long-term competitiveness of the Company and to mitigate softer market conditions. Total restructuring and related charges for this program of $23.9 million, compared to a target of approximately $20 million, were recorded through June 30, 2026, consisting of $19.4 million in Metal Cutting and $4.5 million in Infrastructure. The Company substantially completed the closure of a facility in Greenfield, MA and the consolidation of facilities in Barcelona, Spain during 2025 as a part of these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2026, we recorded restructuring and related charges of $11.4 million, which consisted of $9.7 million in Metal Cutting and $1.7 million in Infrastructure. Of this amount, restructuring-related charges of $2.4 million were included in cost of goods sold and $0.1 million were included in operating expense. These amounts are inclusive of a reversal of restructuring and related charges of $1.0 million related to prior 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2025, we recorded restructuring and related charges of $13.3 million, which consisted of $10.4 million in Metal Cutting and $2.8 million in Infrastructure. Of this amount, restructuring-related charges of $1.3 million were included in cost of goods sold and $0.2 million were included in operating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2024, we recorded restructuring and related charges of $12.4 million, which consisted of $8.5 million in Metal Cutting and $3.9 million in Infrastructure. These amounts are inclusive of a reversal of restructuring and related charges of $1.1 million related to prior actions, including $0.4 million in operating expense. Also included in restructuring and other charges, net during 2024 is a net benefit of $0.6 million primarily due to the sale of properties.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$7.5 million of the restructuring accrual is recorded in other current liabilities and $2.0 million is recorded in other liabilities in our consolidated balance sheet. As of June 30, 2025, $11.0 million of the restructuring accrual is recorded in other current liabilities and $2.4 million is recorded in other liabilities in our consolidated balance sheet. The amounts are as follows:</w:t>
      </w:r>
    </w:p>
    <w:tbl>
      <w:tblPr>
        <w:tblW w:w="10205" w:type="dxa"/>
        <w:jc w:val="center"/>
        <w:tblInd w:w="0" w:type="dxa"/>
        <w:tblLayout w:type="fixed"/>
        <w:tblCellMar>
          <w:top w:w="28" w:type="dxa"/>
          <w:left w:w="28" w:type="dxa"/>
          <w:bottom w:w="28" w:type="dxa"/>
          <w:right w:w="28" w:type="dxa"/>
        </w:tblCellMar>
      </w:tblPr>
      <w:tblGrid>
        <w:gridCol w:w="418"/>
        <w:gridCol w:w="368"/>
        <w:gridCol w:w="370"/>
        <w:gridCol w:w="237"/>
        <w:gridCol w:w="811"/>
        <w:gridCol w:w="122"/>
        <w:gridCol w:w="109"/>
        <w:gridCol w:w="109"/>
        <w:gridCol w:w="109"/>
        <w:gridCol w:w="211"/>
        <w:gridCol w:w="616"/>
        <w:gridCol w:w="109"/>
        <w:gridCol w:w="109"/>
        <w:gridCol w:w="109"/>
        <w:gridCol w:w="109"/>
        <w:gridCol w:w="406"/>
        <w:gridCol w:w="783"/>
        <w:gridCol w:w="212"/>
        <w:gridCol w:w="109"/>
        <w:gridCol w:w="109"/>
        <w:gridCol w:w="109"/>
        <w:gridCol w:w="109"/>
        <w:gridCol w:w="109"/>
        <w:gridCol w:w="272"/>
        <w:gridCol w:w="622"/>
        <w:gridCol w:w="142"/>
        <w:gridCol w:w="109"/>
        <w:gridCol w:w="109"/>
        <w:gridCol w:w="109"/>
        <w:gridCol w:w="292"/>
        <w:gridCol w:w="1026"/>
        <w:gridCol w:w="154"/>
        <w:gridCol w:w="109"/>
        <w:gridCol w:w="109"/>
        <w:gridCol w:w="109"/>
        <w:gridCol w:w="253"/>
        <w:gridCol w:w="739"/>
        <w:gridCol w:w="189"/>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Write-Down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r>
      <w:tr>
        <w:trPr/>
        <w:tc>
          <w:tcPr>
            <w:tcW w:w="11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2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4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8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407"/>
        <w:gridCol w:w="359"/>
        <w:gridCol w:w="361"/>
        <w:gridCol w:w="233"/>
        <w:gridCol w:w="799"/>
        <w:gridCol w:w="120"/>
        <w:gridCol w:w="109"/>
        <w:gridCol w:w="109"/>
        <w:gridCol w:w="109"/>
        <w:gridCol w:w="211"/>
        <w:gridCol w:w="721"/>
        <w:gridCol w:w="109"/>
        <w:gridCol w:w="109"/>
        <w:gridCol w:w="109"/>
        <w:gridCol w:w="109"/>
        <w:gridCol w:w="394"/>
        <w:gridCol w:w="760"/>
        <w:gridCol w:w="205"/>
        <w:gridCol w:w="109"/>
        <w:gridCol w:w="109"/>
        <w:gridCol w:w="109"/>
        <w:gridCol w:w="109"/>
        <w:gridCol w:w="109"/>
        <w:gridCol w:w="278"/>
        <w:gridCol w:w="614"/>
        <w:gridCol w:w="144"/>
        <w:gridCol w:w="109"/>
        <w:gridCol w:w="109"/>
        <w:gridCol w:w="109"/>
        <w:gridCol w:w="317"/>
        <w:gridCol w:w="950"/>
        <w:gridCol w:w="165"/>
        <w:gridCol w:w="109"/>
        <w:gridCol w:w="109"/>
        <w:gridCol w:w="109"/>
        <w:gridCol w:w="232"/>
        <w:gridCol w:w="796"/>
        <w:gridCol w:w="177"/>
      </w:tblGrid>
      <w:tr>
        <w:trPr/>
        <w:tc>
          <w:tcPr>
            <w:tcW w:w="40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 Write-Down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Cash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1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4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(9,920)</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11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17 —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methods used to estimate the fair value of our financial instruments are as follows:</w:t>
      </w:r>
    </w:p>
    <w:p>
      <w:pPr>
        <w:pStyle w:val="TextBody"/>
        <w:bidi w:val="0"/>
        <w:spacing w:lineRule="auto" w:line="288" w:before="120" w:after="283"/>
        <w:jc w:val="left"/>
        <w:rPr/>
      </w:pPr>
      <w:r>
        <w:rPr>
          <w:rFonts w:ascii="Times New Roman;serif" w:hAnsi="Times New Roman;serif"/>
          <w:b w:val="false"/>
          <w:i/>
          <w:color w:val="000000"/>
          <w:sz w:val="20"/>
        </w:rPr>
        <w:t>Cash and Cash Equivalents, Revolving and Other Lines of Credit and Notes Payable.</w:t>
      </w:r>
      <w:r>
        <w:rPr>
          <w:color w:val="000000"/>
        </w:rPr>
        <w:t xml:space="preserve"> </w:t>
      </w:r>
      <w:r>
        <w:rPr>
          <w:rFonts w:ascii="Times New Roman;serif" w:hAnsi="Times New Roman;serif"/>
          <w:b w:val="false"/>
          <w:color w:val="000000"/>
          <w:sz w:val="20"/>
        </w:rPr>
        <w:t>The carrying amounts approximate their fair value because of the short maturity of the instruments.</w:t>
      </w:r>
    </w:p>
    <w:p>
      <w:pPr>
        <w:pStyle w:val="TextBody"/>
        <w:bidi w:val="0"/>
        <w:spacing w:lineRule="auto" w:line="288" w:before="120" w:after="283"/>
        <w:jc w:val="left"/>
        <w:rPr/>
      </w:pPr>
      <w:r>
        <w:rPr>
          <w:rFonts w:ascii="Times New Roman;serif" w:hAnsi="Times New Roman;serif"/>
          <w:b w:val="false"/>
          <w:i/>
          <w:color w:val="000000"/>
          <w:sz w:val="20"/>
        </w:rPr>
        <w:t>Long-Term Debt, Including Current Maturities.</w:t>
      </w:r>
      <w:r>
        <w:rPr>
          <w:color w:val="000000"/>
        </w:rPr>
        <w:t xml:space="preserve"> </w:t>
      </w:r>
      <w:r>
        <w:rPr>
          <w:rFonts w:ascii="Times New Roman;serif" w:hAnsi="Times New Roman;serif"/>
          <w:b w:val="false"/>
          <w:color w:val="000000"/>
          <w:sz w:val="20"/>
        </w:rPr>
        <w:t>Fixed rate debt had a fair market value of $666.7 million and $570.8 million at June 30, 2026 and 2025, respectively. The Level 2 fair value is determined based on the quoted market prices for similar debt instruments as of June 30, 2026 and 2025, respectively.</w:t>
      </w:r>
    </w:p>
    <w:p>
      <w:pPr>
        <w:pStyle w:val="TextBody"/>
        <w:bidi w:val="0"/>
        <w:spacing w:lineRule="auto" w:line="288" w:before="120" w:after="283"/>
        <w:jc w:val="left"/>
        <w:rPr/>
      </w:pPr>
      <w:r>
        <w:rPr>
          <w:rFonts w:ascii="Times New Roman;serif" w:hAnsi="Times New Roman;serif"/>
          <w:b w:val="false"/>
          <w:i/>
          <w:color w:val="000000"/>
          <w:sz w:val="20"/>
        </w:rPr>
        <w:t>Concentrations of Credit Risk.</w:t>
      </w:r>
      <w:r>
        <w:rPr>
          <w:color w:val="000000"/>
        </w:rPr>
        <w:t xml:space="preserve"> </w:t>
      </w:r>
      <w:r>
        <w:rPr>
          <w:rFonts w:ascii="Times New Roman;serif" w:hAnsi="Times New Roman;serif"/>
          <w:b w:val="false"/>
          <w:color w:val="000000"/>
          <w:sz w:val="20"/>
        </w:rPr>
        <w:t>Financial instruments that potentially subject us to concentrations of credit risk consist primarily of temporary cash investments and trade receivables. By policy, we make temporary cash investments with high credit quality financial institutions and limit the amount of exposure to any one financial institution. With respect to trade receivables, concentrations of credit risk are significantly reduced because we serve numerous customers in many industries and geographic areas.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counterparty credit risk for nonperformance of derivatives and, in the unlikely event of nonperformance, to market risk for changes in interest and currency exchange rates, as well as settlement risk. We manage exposure to counterparty credit risk through credit standards, diversification of counterparties and procedures to monitor concentrations of credit risk. We do not anticipate nonperformance by any of the counterparties. As of June 30, 2026 and 2025, we had no significant concentrations of credit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18 — STOCK-BASED COMPENSATION</w:t>
      </w:r>
    </w:p>
    <w:p>
      <w:pPr>
        <w:pStyle w:val="TextBody"/>
        <w:bidi w:val="0"/>
        <w:spacing w:lineRule="auto" w:line="288" w:before="120" w:after="283"/>
        <w:jc w:val="left"/>
        <w:rPr/>
      </w:pPr>
      <w:r>
        <w:rPr>
          <w:rFonts w:ascii="Times New Roman;serif" w:hAnsi="Times New Roman;serif"/>
          <w:b w:val="false"/>
          <w:i/>
          <w:color w:val="000000"/>
          <w:sz w:val="20"/>
        </w:rPr>
        <w:t xml:space="preserve">Stock Options. </w:t>
      </w:r>
      <w:r>
        <w:rPr>
          <w:rFonts w:ascii="Times New Roman;serif" w:hAnsi="Times New Roman;serif"/>
          <w:b w:val="false"/>
          <w:color w:val="000000"/>
          <w:sz w:val="20"/>
        </w:rPr>
        <w:t>Changes in our stock options for 2026 were as follows:</w:t>
      </w:r>
    </w:p>
    <w:tbl>
      <w:tblPr>
        <w:tblW w:w="9918" w:type="dxa"/>
        <w:jc w:val="left"/>
        <w:tblInd w:w="0" w:type="dxa"/>
        <w:tblLayout w:type="fixed"/>
        <w:tblCellMar>
          <w:top w:w="28" w:type="dxa"/>
          <w:left w:w="28" w:type="dxa"/>
          <w:bottom w:w="28" w:type="dxa"/>
          <w:right w:w="28" w:type="dxa"/>
        </w:tblCellMar>
      </w:tblPr>
      <w:tblGrid>
        <w:gridCol w:w="1547"/>
        <w:gridCol w:w="1360"/>
        <w:gridCol w:w="1367"/>
        <w:gridCol w:w="413"/>
        <w:gridCol w:w="413"/>
        <w:gridCol w:w="251"/>
        <w:gridCol w:w="109"/>
        <w:gridCol w:w="109"/>
        <w:gridCol w:w="109"/>
        <w:gridCol w:w="280"/>
        <w:gridCol w:w="820"/>
        <w:gridCol w:w="146"/>
        <w:gridCol w:w="109"/>
        <w:gridCol w:w="109"/>
        <w:gridCol w:w="109"/>
        <w:gridCol w:w="339"/>
        <w:gridCol w:w="339"/>
        <w:gridCol w:w="341"/>
        <w:gridCol w:w="109"/>
        <w:gridCol w:w="109"/>
        <w:gridCol w:w="109"/>
        <w:gridCol w:w="361"/>
        <w:gridCol w:w="695"/>
        <w:gridCol w:w="265"/>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w:t>
              <w:br/>
              <w:t>Average</w:t>
              <w:br/>
              <w:t>Remaining</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Aggregate</w:t>
              <w:br/>
              <w:t>Intrinsic value</w:t>
              <w:br/>
              <w:t>(in thousands)</w:t>
            </w:r>
          </w:p>
        </w:tc>
      </w:tr>
      <w:tr>
        <w:trPr/>
        <w:tc>
          <w:tcPr>
            <w:tcW w:w="42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June 30, 2025</w:t>
            </w:r>
          </w:p>
        </w:tc>
        <w:tc>
          <w:tcPr>
            <w:tcW w:w="8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101,947 </w:t>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Lapsed and forfeited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(87,947)</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June 30, 2026</w:t>
            </w:r>
          </w:p>
        </w:tc>
        <w:tc>
          <w:tcPr>
            <w:tcW w:w="8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June 30, 2026</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June 30, 2026</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2025, there was no unrecognized compensation cost related to options outstanding. All options were fully vested as of June 30, 2026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Tax benefits relating to excess stock-based compensation deductions are presented in the consolidated statements of cash flows as operating cash inflows. Tax benefits resulting from stock-based compensation deductions were less than the amounts reported for financial reporting purposes by $0.8 million, $0.8 million and $1.5 million in 2026, 2025 and 2024, respectively.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amount of cash received from the exercise of capital stock options during 2026, 2025 and 2024 was zero. The related tax benefit was $0.1 million in 2026, and zero in 2025 and 2024. The total intrinsic value of options exercised in 2026 was $0.2 million, and zero in 2025 and 2024.</w:t>
      </w:r>
    </w:p>
    <w:p>
      <w:pPr>
        <w:pStyle w:val="TextBody"/>
        <w:bidi w:val="0"/>
        <w:spacing w:lineRule="auto" w:line="288" w:before="120" w:after="283"/>
        <w:jc w:val="left"/>
        <w:rPr/>
      </w:pPr>
      <w:r>
        <w:rPr>
          <w:rFonts w:ascii="Times New Roman;serif" w:hAnsi="Times New Roman;serif"/>
          <w:b w:val="false"/>
          <w:i/>
          <w:color w:val="000000"/>
          <w:sz w:val="20"/>
        </w:rPr>
        <w:t xml:space="preserve">Restricted Stock Units – Time Vesting and Performance Vesting. </w:t>
      </w:r>
      <w:r>
        <w:rPr>
          <w:rFonts w:ascii="Times New Roman;serif" w:hAnsi="Times New Roman;serif"/>
          <w:b w:val="false"/>
          <w:color w:val="000000"/>
          <w:sz w:val="20"/>
        </w:rPr>
        <w:t>Performance vesting restricted stock units are earned based on both annual and three-year performance targets. The performance vesting restricted stock units are subject to a service condition that requires the individual to be employed by the Company at the payment date after a three-year period, with the exception of retirement eligible grantees. Time vesting stock units are valued at the market value of the stock on the grant date. Performance vesting stock units with a market condition are valued using a Monte Carlo model.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Changes in our performance vesting and time vesting restricted stock units for 2026 were as follows:</w:t>
      </w:r>
    </w:p>
    <w:tbl>
      <w:tblPr>
        <w:tblW w:w="9059" w:type="dxa"/>
        <w:jc w:val="left"/>
        <w:tblInd w:w="0" w:type="dxa"/>
        <w:tblLayout w:type="fixed"/>
        <w:tblCellMar>
          <w:top w:w="28" w:type="dxa"/>
          <w:left w:w="28" w:type="dxa"/>
          <w:bottom w:w="28" w:type="dxa"/>
          <w:right w:w="28" w:type="dxa"/>
        </w:tblCellMar>
      </w:tblPr>
      <w:tblGrid>
        <w:gridCol w:w="1102"/>
        <w:gridCol w:w="968"/>
        <w:gridCol w:w="975"/>
        <w:gridCol w:w="449"/>
        <w:gridCol w:w="451"/>
        <w:gridCol w:w="371"/>
        <w:gridCol w:w="109"/>
        <w:gridCol w:w="109"/>
        <w:gridCol w:w="109"/>
        <w:gridCol w:w="257"/>
        <w:gridCol w:w="750"/>
        <w:gridCol w:w="134"/>
        <w:gridCol w:w="109"/>
        <w:gridCol w:w="109"/>
        <w:gridCol w:w="109"/>
        <w:gridCol w:w="488"/>
        <w:gridCol w:w="488"/>
        <w:gridCol w:w="401"/>
        <w:gridCol w:w="109"/>
        <w:gridCol w:w="109"/>
        <w:gridCol w:w="109"/>
        <w:gridCol w:w="267"/>
        <w:gridCol w:w="782"/>
        <w:gridCol w:w="195"/>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w:t>
              <w:br/>
              <w:t>Vesting</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w:t>
              <w:br/>
              <w:t>Vesting</w:t>
              <w:br/>
              <w:t>Weighted</w:t>
              <w:br/>
              <w:t>Average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Time Vesting</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Time Vesting</w:t>
              <w:br/>
              <w:t>Weighted</w:t>
              <w:br/>
              <w:t>Average Fair</w:t>
              <w:br/>
              <w:t>Value</w:t>
            </w:r>
          </w:p>
        </w:tc>
      </w:tr>
      <w:tr>
        <w:trPr/>
        <w:tc>
          <w:tcPr>
            <w:tcW w:w="30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June 30, 2025</w:t>
            </w:r>
          </w:p>
        </w:tc>
        <w:tc>
          <w:tcPr>
            <w:tcW w:w="9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568,332 </w:t>
            </w:r>
          </w:p>
        </w:tc>
        <w:tc>
          <w:tcPr>
            <w:tcW w:w="3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1,197,215 </w:t>
            </w:r>
          </w:p>
        </w:tc>
        <w:tc>
          <w:tcPr>
            <w:tcW w:w="4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365,215 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1,167,710 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(244,574)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(681,656)</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metric adjustments, net</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(38,930)</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(50,803)</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304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June 30, 2026</w:t>
            </w:r>
          </w:p>
        </w:tc>
        <w:tc>
          <w:tcPr>
            <w:tcW w:w="90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644,507 </w:t>
            </w:r>
          </w:p>
        </w:tc>
        <w:tc>
          <w:tcPr>
            <w:tcW w:w="3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1,632,466 </w:t>
            </w:r>
          </w:p>
        </w:tc>
        <w:tc>
          <w:tcPr>
            <w:tcW w:w="4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22.48 </w:t>
            </w:r>
          </w:p>
        </w:tc>
        <w:tc>
          <w:tcPr>
            <w:tcW w:w="1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2026, 2025 and 2024, compensation expense related to performance vesting and time vesting restricted stock units was $33.4 million, $21.0 million and $23.4 million, respectively. Performance vesting stock units were adjusted by 38,930 units during 2026 related to the fiscal 2025 performance year. As of June 30, 2026, the total unrecognized compensation cost related to unvested performance vesting and time vesting restricted stock units was $24.8 million and is expected to be recognized over a weighted average period of 1.5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19— ENVIRONMENTAL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operation of our business has exposed us to certain liabilities and compliance costs related to environmental matters. We are involved in various environmental cleanup and remediation activities at certain sites associated with our current or former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establish and maintain accruals for estimated liabilities associated with certain environmental matters. At June 30, 2026, the balance of such accruals was $12.3 million, of which $2.7 million was current. At June 30, 2025, the balance was $11.0 million, of which $1.4 million was current. These accruals are generally not discounted.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record a loss contingency when the available information indicates it is probable that we have incurred a liability and the amount of the loss is reasonably estimable. The likelihood of a loss with respect to a particular environmental matter is often difficult to predict, and determining a meaningful estimate of the loss or a range of loss may not be practicable based on information available. When a material loss contingency is probable but a reasonable estimate cannot be made, or when a material loss contingency is at least reasonably possible, disclosure is provided. The accruals we have established for estimated environmental liabilities represent our best current estimate of the probable and reasonably estimable costs of addressing identified environmental situations, based on our review of currently available evidence, and taking into consideration our prior experience in remediation and that of other companies, as well as public information released by the United States Environmental Protection Agency (USEPA), other governmental agencies and by the Potentially Responsible Party (PRP) groups in which we are participating. The accrued liabilities for all environmental concerns could change substantially due to factors such as the nature and extent of contamination, changes in remedial requirements, technological changes, discovery of new information, the financial strength of other PRPs, the identification of new PRPs and the involvement of and direction taken by the government or the courts on these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Among other environmental laws, we are subject to the Comprehensive Environmental Response Compensation and Liability Act of 1980 (CERCLA), under which we have been identified by the USEPA or other third party as a PRP with respect to environmental remedial costs at certain Superfund sites. We have evaluated our claims and estimated liability associated with these sites based upon the best information currently available to us. We believe our environmental accruals are adequate to cover our portion of the environmental remedial costs at the sites where we have been designated a PRP, to the extent these expenses are probable and reasonably estimable.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20 — COMMITMENTS AND CONTINGENCIES</w:t>
      </w:r>
    </w:p>
    <w:p>
      <w:pPr>
        <w:pStyle w:val="TextBody"/>
        <w:bidi w:val="0"/>
        <w:spacing w:lineRule="auto" w:line="288" w:before="120" w:after="283"/>
        <w:jc w:val="left"/>
        <w:rPr/>
      </w:pPr>
      <w:r>
        <w:rPr>
          <w:rFonts w:ascii="Times New Roman;serif" w:hAnsi="Times New Roman;serif"/>
          <w:b w:val="false"/>
          <w:i/>
          <w:color w:val="000000"/>
          <w:sz w:val="20"/>
        </w:rPr>
        <w:t>Legal Matters.</w:t>
      </w:r>
      <w:r>
        <w:rPr>
          <w:color w:val="000000"/>
        </w:rPr>
        <w:t xml:space="preserve"> </w:t>
      </w:r>
      <w:r>
        <w:rPr>
          <w:rFonts w:ascii="Times New Roman;serif" w:hAnsi="Times New Roman;serif"/>
          <w:b w:val="false"/>
          <w:color w:val="000000"/>
          <w:sz w:val="20"/>
        </w:rPr>
        <w:t>Various lawsuits arising during the normal course of business are pending against us. In our opinion, the ultimate liability, if any, resulting from these matters will have no significant effect on our consolidated financial position or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2025, MachiningCloud, Inc. filed a lawsuit against the Company in the Superior Court of the State of California alleging breach of a contract and other matters. The Company removed the case to federal court and asserted counterclaims against MachiningCloud, Inc. MachiningCloud, Inc. initially sought damages in excess of $330 million. During the course of the litigation, certain of MachiningCloud's claims have been narrowed and the damages sought are significantly lower than originally asserted. The Company intends to vigorously defend the action and pursue its counterclaims. At this stage of the litigation, no determination can be made with regard to the outcome of the litigation, including the probability of an unfavorable outcome. </w:t>
      </w:r>
    </w:p>
    <w:p>
      <w:pPr>
        <w:pStyle w:val="TextBody"/>
        <w:bidi w:val="0"/>
        <w:spacing w:lineRule="auto" w:line="288" w:before="120" w:after="283"/>
        <w:jc w:val="left"/>
        <w:rPr/>
      </w:pPr>
      <w:r>
        <w:rPr>
          <w:rFonts w:ascii="Times New Roman;serif" w:hAnsi="Times New Roman;serif"/>
          <w:b w:val="false"/>
          <w:i/>
          <w:color w:val="000000"/>
          <w:sz w:val="20"/>
        </w:rPr>
        <w:t>Lease Commitments.</w:t>
      </w:r>
      <w:r>
        <w:rPr>
          <w:color w:val="000000"/>
        </w:rPr>
        <w:t> </w:t>
      </w:r>
      <w:r>
        <w:rPr>
          <w:rFonts w:ascii="Times New Roman;serif" w:hAnsi="Times New Roman;serif"/>
          <w:b w:val="false"/>
          <w:color w:val="000000"/>
          <w:sz w:val="20"/>
        </w:rPr>
        <w:t>We lease a wide variety of facilities, primarily for warehousing, production and offices, as well as vehicles and equipment that are considered operating leases. Refer to Note 9 for more information.</w:t>
      </w:r>
    </w:p>
    <w:p>
      <w:pPr>
        <w:pStyle w:val="TextBody"/>
        <w:bidi w:val="0"/>
        <w:spacing w:lineRule="auto" w:line="288" w:before="120" w:after="283"/>
        <w:jc w:val="left"/>
        <w:rPr/>
      </w:pPr>
      <w:r>
        <w:rPr>
          <w:rFonts w:ascii="Times New Roman;serif" w:hAnsi="Times New Roman;serif"/>
          <w:b w:val="false"/>
          <w:i/>
          <w:color w:val="000000"/>
          <w:sz w:val="20"/>
        </w:rPr>
        <w:t>Purchase Commitments.</w:t>
      </w:r>
      <w:r>
        <w:rPr>
          <w:color w:val="000000"/>
        </w:rPr>
        <w:t xml:space="preserve"> </w:t>
      </w:r>
      <w:r>
        <w:rPr>
          <w:rFonts w:ascii="Times New Roman;serif" w:hAnsi="Times New Roman;serif"/>
          <w:b w:val="false"/>
          <w:color w:val="000000"/>
          <w:sz w:val="20"/>
        </w:rPr>
        <w:t>We have purchase commitments for materials, supplies and machinery and equipment as part of the ordinary conduct of business. Some of these commitments extend beyond one year and are based on minimum purchase requirements. We believe these commitments are not at prices in excess of current market.</w:t>
      </w:r>
    </w:p>
    <w:p>
      <w:pPr>
        <w:pStyle w:val="TextBody"/>
        <w:bidi w:val="0"/>
        <w:spacing w:lineRule="auto" w:line="288" w:before="120" w:after="283"/>
        <w:jc w:val="left"/>
        <w:rPr/>
      </w:pPr>
      <w:r>
        <w:rPr>
          <w:rFonts w:ascii="Times New Roman;serif" w:hAnsi="Times New Roman;serif"/>
          <w:b w:val="false"/>
          <w:i/>
          <w:color w:val="000000"/>
          <w:sz w:val="20"/>
        </w:rPr>
        <w:t>Other Contractual Obligations.</w:t>
      </w:r>
      <w:r>
        <w:rPr>
          <w:color w:val="000000"/>
        </w:rPr>
        <w:t xml:space="preserve"> </w:t>
      </w:r>
      <w:r>
        <w:rPr>
          <w:rFonts w:ascii="Times New Roman;serif" w:hAnsi="Times New Roman;serif"/>
          <w:b w:val="false"/>
          <w:color w:val="000000"/>
          <w:sz w:val="20"/>
        </w:rPr>
        <w:t>We do not have material financial guarantees or other contractual commitments that are reasonably likely to adversely affect our liquidity.</w:t>
      </w:r>
    </w:p>
    <w:p>
      <w:pPr>
        <w:pStyle w:val="TextBody"/>
        <w:bidi w:val="0"/>
        <w:spacing w:lineRule="auto" w:line="288" w:before="120" w:after="283"/>
        <w:jc w:val="left"/>
        <w:rPr/>
      </w:pP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Sales to affiliated companies were immaterial in 2026, 2025 and 2024. We do not have any other related party transactions that affect our operations, results of operations, cash flows or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21 — SEGMENT DATA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and reports its business in the following two segments: Metal Cutting and Infrastructure. The Company's reportable operating segments have been determined in accordance with the Company's internal management structure, which is organized based on operating activities, the manner in which we organize segments for making operating decisions and assessing performance and the availability of separate financial results. The Company's chief operating decision maker is its President and Chief Executive Officer. The President and Chief Executive Officer regularly reviews the discrete financial information of the Metal Cutting and Infrastructure reportable operating segments to assess performance and make decisions about the allocation of resources. The primary measure of profit or loss considered by the President and Chief Executive Officer when evaluating reportable operating segment performance is segment operating income. We do not allocate certain corporate expenses related to executive retirement plans, the Company’s Board of Directors and strategic initiatives, as well as certain other costs and report them in Corporate. Our reportable operating segments do not represent the aggregation of two or more operating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to a single customer did not aggregate to more than five percent of total sales in 2026, 2025 and 2024. </w:t>
      </w:r>
    </w:p>
    <w:p>
      <w:pPr>
        <w:pStyle w:val="TextBody"/>
        <w:bidi w:val="0"/>
        <w:spacing w:lineRule="auto" w:line="288" w:before="120" w:after="283"/>
        <w:jc w:val="left"/>
        <w:rPr/>
      </w:pPr>
      <w:r>
        <w:rPr>
          <w:rFonts w:ascii="Times New Roman;serif" w:hAnsi="Times New Roman;serif"/>
          <w:b w:val="false"/>
          <w:i/>
          <w:color w:val="000000"/>
          <w:sz w:val="20"/>
        </w:rPr>
        <w:t>METAL CUTTING</w:t>
      </w:r>
      <w:r>
        <w:rPr>
          <w:color w:val="000000"/>
        </w:rPr>
        <w:t xml:space="preserve"> </w:t>
      </w:r>
      <w:r>
        <w:rPr>
          <w:rFonts w:ascii="Times New Roman;serif" w:hAnsi="Times New Roman;serif"/>
          <w:b w:val="false"/>
          <w:color w:val="000000"/>
          <w:sz w:val="20"/>
        </w:rPr>
        <w:t>The Metal Cutting segment develops and manufactures high performance tooling and metal cutting products and services and offers an assortment of standard and custom metal cutting solutions to diverse end markets, including General Engineering, Transportation, Aerospace &amp; Defense and Energy. The products include milling, hole making, turning, threading and toolmaking systems used in the manufacture of airframes, aero engines, trucks and automobiles, ships and various types of industrial equipment. We leverage advanced manufacturing capabilities in combination with varying levels of customization to solve our customers’ toughest challenges and deliver improved productivity for a wide range of applications</w:t>
      </w:r>
      <w:r>
        <w:rPr>
          <w:rFonts w:ascii="Times New Roman;serif" w:hAnsi="Times New Roman;serif"/>
          <w:b/>
          <w:color w:val="000000"/>
          <w:sz w:val="20"/>
        </w:rPr>
        <w:t>. </w:t>
      </w:r>
      <w:r>
        <w:rPr>
          <w:rFonts w:ascii="Times New Roman;serif" w:hAnsi="Times New Roman;serif"/>
          <w:b w:val="false"/>
          <w:color w:val="000000"/>
          <w:sz w:val="20"/>
        </w:rPr>
        <w:t>Metal Cutting markets its products under the Kennametal</w:t>
      </w:r>
      <w:r>
        <w:rPr>
          <w:rFonts w:ascii="Times New Roman;serif" w:hAnsi="Times New Roman;serif"/>
          <w:b w:val="false"/>
          <w:color w:val="000000"/>
          <w:sz w:val="13"/>
        </w:rPr>
        <w:t>®</w:t>
      </w:r>
      <w:r>
        <w:rPr>
          <w:rFonts w:ascii="Times New Roman;serif" w:hAnsi="Times New Roman;serif"/>
          <w:b w:val="false"/>
          <w:color w:val="000000"/>
          <w:sz w:val="20"/>
        </w:rPr>
        <w:t>, WIDIA</w:t>
      </w:r>
      <w:r>
        <w:rPr>
          <w:rFonts w:ascii="Times New Roman;serif" w:hAnsi="Times New Roman;serif"/>
          <w:b w:val="false"/>
          <w:color w:val="000000"/>
          <w:sz w:val="13"/>
        </w:rPr>
        <w:t>®</w:t>
      </w:r>
      <w:r>
        <w:rPr>
          <w:rFonts w:ascii="Times New Roman;serif" w:hAnsi="Times New Roman;serif"/>
          <w:b w:val="false"/>
          <w:color w:val="000000"/>
          <w:sz w:val="20"/>
        </w:rPr>
        <w:t>, WIDIA Hanita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WIDIA GTD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brands through its direct sales force, a network of independent and national distributors, integrated supplier channels and via the Internet. Application engineers and technicians are critical to the sales process and directly assist our customers with specified product design, selection, application and support.</w:t>
      </w:r>
    </w:p>
    <w:p>
      <w:pPr>
        <w:pStyle w:val="TextBody"/>
        <w:bidi w:val="0"/>
        <w:spacing w:lineRule="auto" w:line="288" w:before="120" w:after="283"/>
        <w:jc w:val="left"/>
        <w:rPr/>
      </w:pPr>
      <w:r>
        <w:rPr>
          <w:rFonts w:ascii="Times New Roman;serif" w:hAnsi="Times New Roman;serif"/>
          <w:b w:val="false"/>
          <w:i/>
          <w:color w:val="000000"/>
          <w:sz w:val="20"/>
        </w:rPr>
        <w:t xml:space="preserve">INFRASTRUCTURE </w:t>
      </w:r>
      <w:r>
        <w:rPr>
          <w:rFonts w:ascii="Times New Roman;serif" w:hAnsi="Times New Roman;serif"/>
          <w:b w:val="false"/>
          <w:color w:val="000000"/>
          <w:sz w:val="20"/>
        </w:rPr>
        <w:t>Our Infrastructure segment produces engineered tungsten carbide and ceramic components, earth cutting tools, and advanced metallurgical powders, primarily for the Earthworks, General Engineering, Energy and Aerospace &amp; Defense end markets. These wear-resistant products include compacts, nozzles, frac seats and custom components used in oil and gas and petrochemical industries; rod blanks and abrasive water jet nozzles for general industries; earth cutting tools and systems used in underground mining, trenching and foundation drilling and road milling; tungsten carbide powders for the oil and gas, aerospace and process industries; high temperature critical wear components, tungsten penetrators and armor solutions for aerospace and defense; and ceramics used by the packaging industry for metallization of films and papers. We combine deep metallurgical and engineering expertise with advanced manufacturing capabilities, such as 3D printing, to deliver solutions that drive improved productivity for our customers. Infrastructure markets its products primarily under the Kennametal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 and sells through a direct sales force as well as through distributors.</w:t>
      </w:r>
    </w:p>
    <w:p>
      <w:pPr>
        <w:pStyle w:val="TextBody"/>
        <w:bidi w:val="0"/>
        <w:spacing w:lineRule="auto" w:line="288" w:before="120" w:after="283"/>
        <w:jc w:val="left"/>
        <w:rPr/>
      </w:pPr>
      <w:r>
        <w:rPr>
          <w:rFonts w:ascii="Times New Roman;serif" w:hAnsi="Times New Roman;serif"/>
          <w:b w:val="false"/>
          <w:color w:val="000000"/>
          <w:sz w:val="20"/>
        </w:rPr>
        <w:t>Segment data is summarized as follows:</w:t>
      </w:r>
      <w:r>
        <w:rPr>
          <w:color w:val="000000"/>
        </w:rPr>
        <w:t> </w:t>
      </w:r>
    </w:p>
    <w:tbl>
      <w:tblPr>
        <w:tblW w:w="7692" w:type="dxa"/>
        <w:jc w:val="left"/>
        <w:tblInd w:w="0" w:type="dxa"/>
        <w:tblLayout w:type="fixed"/>
        <w:tblCellMar>
          <w:top w:w="28" w:type="dxa"/>
          <w:left w:w="28" w:type="dxa"/>
          <w:bottom w:w="28" w:type="dxa"/>
          <w:right w:w="28" w:type="dxa"/>
        </w:tblCellMar>
      </w:tblPr>
      <w:tblGrid>
        <w:gridCol w:w="1123"/>
        <w:gridCol w:w="989"/>
        <w:gridCol w:w="993"/>
        <w:gridCol w:w="211"/>
        <w:gridCol w:w="976"/>
        <w:gridCol w:w="109"/>
        <w:gridCol w:w="109"/>
        <w:gridCol w:w="109"/>
        <w:gridCol w:w="109"/>
        <w:gridCol w:w="211"/>
        <w:gridCol w:w="976"/>
        <w:gridCol w:w="109"/>
        <w:gridCol w:w="109"/>
        <w:gridCol w:w="109"/>
        <w:gridCol w:w="109"/>
        <w:gridCol w:w="211"/>
        <w:gridCol w:w="976"/>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1,966,845 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2,046,899 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7632" w:type="dxa"/>
        <w:jc w:val="left"/>
        <w:tblInd w:w="0" w:type="dxa"/>
        <w:tblLayout w:type="fixed"/>
        <w:tblCellMar>
          <w:top w:w="28" w:type="dxa"/>
          <w:left w:w="28" w:type="dxa"/>
          <w:bottom w:w="28" w:type="dxa"/>
          <w:right w:w="28" w:type="dxa"/>
        </w:tblCellMar>
      </w:tblPr>
      <w:tblGrid>
        <w:gridCol w:w="1102"/>
        <w:gridCol w:w="969"/>
        <w:gridCol w:w="974"/>
        <w:gridCol w:w="211"/>
        <w:gridCol w:w="976"/>
        <w:gridCol w:w="109"/>
        <w:gridCol w:w="109"/>
        <w:gridCol w:w="109"/>
        <w:gridCol w:w="109"/>
        <w:gridCol w:w="211"/>
        <w:gridCol w:w="976"/>
        <w:gridCol w:w="109"/>
        <w:gridCol w:w="109"/>
        <w:gridCol w:w="109"/>
        <w:gridCol w:w="109"/>
        <w:gridCol w:w="211"/>
        <w:gridCol w:w="97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assets</w:t>
            </w:r>
            <w:r>
              <w:rPr>
                <w:rFonts w:ascii="Times New Roman;serif" w:hAnsi="Times New Roman;serif"/>
                <w:b w:val="false"/>
                <w:color w:val="000000"/>
                <w:sz w:val="13"/>
              </w:rPr>
              <w:t>(4)</w:t>
            </w:r>
            <w:r>
              <w:rPr>
                <w:rFonts w:ascii="Times New Roman;serif" w:hAnsi="Times New Roman;serif"/>
                <w:b w:val="false"/>
                <w:color w:val="000000"/>
                <w:sz w:val="20"/>
              </w:rPr>
              <w: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2,545,412 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2,503,758 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107,561 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 xml:space="preserve">Metal Cutting and Infrastructure segment assets are principally accounts receivable, less allowance for doubtful accounts, inventories, property, plant and equipment, net, goodwill and other intangible assets, net of accumulated amortization. Corporate assets are principally cash and cash equivalents, other current assets, long-term prepaid pension benefit, deferred income taxes, operating lease ROU assets and other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Geographic information for sales, based on country where the sale originated, and long-lived assets is as follows:</w:t>
      </w:r>
    </w:p>
    <w:tbl>
      <w:tblPr>
        <w:tblW w:w="6717" w:type="dxa"/>
        <w:jc w:val="center"/>
        <w:tblInd w:w="0" w:type="dxa"/>
        <w:tblLayout w:type="fixed"/>
        <w:tblCellMar>
          <w:top w:w="28" w:type="dxa"/>
          <w:left w:w="28" w:type="dxa"/>
          <w:bottom w:w="28" w:type="dxa"/>
          <w:right w:w="28" w:type="dxa"/>
        </w:tblCellMar>
      </w:tblPr>
      <w:tblGrid>
        <w:gridCol w:w="770"/>
        <w:gridCol w:w="679"/>
        <w:gridCol w:w="681"/>
        <w:gridCol w:w="211"/>
        <w:gridCol w:w="976"/>
        <w:gridCol w:w="109"/>
        <w:gridCol w:w="109"/>
        <w:gridCol w:w="109"/>
        <w:gridCol w:w="109"/>
        <w:gridCol w:w="211"/>
        <w:gridCol w:w="976"/>
        <w:gridCol w:w="109"/>
        <w:gridCol w:w="109"/>
        <w:gridCol w:w="109"/>
        <w:gridCol w:w="109"/>
        <w:gridCol w:w="211"/>
        <w:gridCol w:w="976"/>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Germany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India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Canada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Italy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Mexico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South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Spain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United Kingdom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Brazil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w:t>
            </w:r>
            <w:r>
              <w:rPr>
                <w:rFonts w:ascii="Times New Roman;serif" w:hAnsi="Times New Roman;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2,356,698 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1,966,845 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2,046,899 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Germany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China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India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Israel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Canada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long-lived assets</w:t>
            </w:r>
            <w:r>
              <w:rPr>
                <w:rFonts w:ascii="Times New Roman;serif" w:hAnsi="Times New Roman;serif"/>
                <w:b w:val="false"/>
                <w:color w:val="000000"/>
                <w:sz w:val="13"/>
              </w:rPr>
              <w:t>(6)</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843,584 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919,914 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938,063 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Other does not contain any country that individually exceeds 2 percent of total sales or total long-lived assets, respectively.</w:t>
      </w:r>
    </w:p>
    <w:p>
      <w:pPr>
        <w:pStyle w:val="TextBody"/>
        <w:bidi w:val="0"/>
        <w:spacing w:lineRule="auto" w:line="288" w:before="120" w:after="283"/>
        <w:jc w:val="left"/>
        <w:rPr/>
      </w:pPr>
      <w:r>
        <w:rPr>
          <w:rFonts w:ascii="Times New Roman;serif" w:hAnsi="Times New Roman;serif"/>
          <w:b w:val="false"/>
          <w:color w:val="000000"/>
          <w:sz w:val="10"/>
        </w:rPr>
        <w:t xml:space="preserve">(6) </w:t>
      </w:r>
      <w:r>
        <w:rPr>
          <w:rFonts w:ascii="Times New Roman;serif" w:hAnsi="Times New Roman;serif"/>
          <w:b w:val="false"/>
          <w:color w:val="000000"/>
          <w:sz w:val="16"/>
        </w:rPr>
        <w:t>Total long-lived assets as of June 30, 2026, 2025 and 2024 include property, plant and equipment, net.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Kennametal's revenue disaggregated by segment by geography:</w:t>
      </w:r>
    </w:p>
    <w:tbl>
      <w:tblPr>
        <w:tblW w:w="7654" w:type="dxa"/>
        <w:jc w:val="center"/>
        <w:tblInd w:w="0" w:type="dxa"/>
        <w:tblLayout w:type="fixed"/>
        <w:tblCellMar>
          <w:top w:w="28" w:type="dxa"/>
          <w:left w:w="28" w:type="dxa"/>
          <w:bottom w:w="28" w:type="dxa"/>
          <w:right w:w="28" w:type="dxa"/>
        </w:tblCellMar>
      </w:tblPr>
      <w:tblGrid>
        <w:gridCol w:w="199"/>
        <w:gridCol w:w="174"/>
        <w:gridCol w:w="174"/>
        <w:gridCol w:w="174"/>
        <w:gridCol w:w="174"/>
        <w:gridCol w:w="181"/>
        <w:gridCol w:w="180"/>
        <w:gridCol w:w="181"/>
        <w:gridCol w:w="292"/>
        <w:gridCol w:w="180"/>
        <w:gridCol w:w="181"/>
        <w:gridCol w:w="292"/>
        <w:gridCol w:w="180"/>
        <w:gridCol w:w="181"/>
        <w:gridCol w:w="292"/>
        <w:gridCol w:w="109"/>
        <w:gridCol w:w="109"/>
        <w:gridCol w:w="109"/>
        <w:gridCol w:w="180"/>
        <w:gridCol w:w="181"/>
        <w:gridCol w:w="292"/>
        <w:gridCol w:w="180"/>
        <w:gridCol w:w="181"/>
        <w:gridCol w:w="292"/>
        <w:gridCol w:w="180"/>
        <w:gridCol w:w="181"/>
        <w:gridCol w:w="292"/>
        <w:gridCol w:w="109"/>
        <w:gridCol w:w="109"/>
        <w:gridCol w:w="109"/>
        <w:gridCol w:w="180"/>
        <w:gridCol w:w="181"/>
        <w:gridCol w:w="292"/>
        <w:gridCol w:w="180"/>
        <w:gridCol w:w="181"/>
        <w:gridCol w:w="292"/>
        <w:gridCol w:w="180"/>
        <w:gridCol w:w="181"/>
        <w:gridCol w:w="339"/>
      </w:tblGrid>
      <w:tr>
        <w:trPr/>
        <w:tc>
          <w:tcPr>
            <w:tcW w:w="19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0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Kennametal</w:t>
            </w:r>
          </w:p>
        </w:tc>
      </w:tr>
      <w:tr>
        <w:trPr/>
        <w:tc>
          <w:tcPr>
            <w:tcW w:w="107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076" w:type="dxa"/>
            <w:gridSpan w:val="6"/>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6"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3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Kennametal's revenue disaggregated by segment by end market:</w:t>
      </w:r>
    </w:p>
    <w:tbl>
      <w:tblPr>
        <w:tblW w:w="8690" w:type="dxa"/>
        <w:jc w:val="center"/>
        <w:tblInd w:w="0" w:type="dxa"/>
        <w:tblLayout w:type="fixed"/>
        <w:tblCellMar>
          <w:top w:w="28" w:type="dxa"/>
          <w:left w:w="28" w:type="dxa"/>
          <w:bottom w:w="28" w:type="dxa"/>
          <w:right w:w="28" w:type="dxa"/>
        </w:tblCellMar>
      </w:tblPr>
      <w:tblGrid>
        <w:gridCol w:w="341"/>
        <w:gridCol w:w="299"/>
        <w:gridCol w:w="299"/>
        <w:gridCol w:w="299"/>
        <w:gridCol w:w="299"/>
        <w:gridCol w:w="305"/>
        <w:gridCol w:w="202"/>
        <w:gridCol w:w="204"/>
        <w:gridCol w:w="292"/>
        <w:gridCol w:w="202"/>
        <w:gridCol w:w="204"/>
        <w:gridCol w:w="292"/>
        <w:gridCol w:w="202"/>
        <w:gridCol w:w="204"/>
        <w:gridCol w:w="292"/>
        <w:gridCol w:w="109"/>
        <w:gridCol w:w="109"/>
        <w:gridCol w:w="109"/>
        <w:gridCol w:w="202"/>
        <w:gridCol w:w="204"/>
        <w:gridCol w:w="292"/>
        <w:gridCol w:w="202"/>
        <w:gridCol w:w="204"/>
        <w:gridCol w:w="292"/>
        <w:gridCol w:w="202"/>
        <w:gridCol w:w="204"/>
        <w:gridCol w:w="292"/>
        <w:gridCol w:w="109"/>
        <w:gridCol w:w="109"/>
        <w:gridCol w:w="109"/>
        <w:gridCol w:w="180"/>
        <w:gridCol w:w="181"/>
        <w:gridCol w:w="292"/>
        <w:gridCol w:w="180"/>
        <w:gridCol w:w="181"/>
        <w:gridCol w:w="292"/>
        <w:gridCol w:w="180"/>
        <w:gridCol w:w="181"/>
        <w:gridCol w:w="339"/>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Metal Cutting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Kennametal</w:t>
            </w:r>
          </w:p>
        </w:tc>
      </w:tr>
      <w:tr>
        <w:trPr/>
        <w:tc>
          <w:tcPr>
            <w:tcW w:w="1842"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42" w:type="dxa"/>
            <w:gridSpan w:val="6"/>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Engineering</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2"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Earthworks</w:t>
            </w:r>
          </w:p>
        </w:tc>
        <w:tc>
          <w:tcPr>
            <w:tcW w:w="4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3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22 — DIVESTITURE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year ended June 30, 2025, we completed the sale of a subsidiary located in Goshen, Indiana to a Chicago-based private equity firm. The Company received $19 million in proceeds and recognized a loss on divestiture of $1.5 million during 2025. The proceeds are subject to customary post-closing adjustments as well as an EBITDA-based earn-out opportunity for Kennametal at the end of a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 — CHANGES IN AND DISAGREEMENTS WITH ACCOUNTANTS ON ACCOUNTING AND FINANCIAL DISCLOSURE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9A — CONTROLS AND PROCEDURES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evaluated, with the participation of the Company’s Chief Executive Officer and Chief Financial Officer, the effectiveness of the Company’s disclosure controls and procedures (as defined in Exchange Act Rules 13a-15(e) and 15d-15(e)) as of June 30, 2026. The Company’s disclosure controls were designed to provide a reasonable assurance that information required to be disclosed in reports that we file or submit under the Exchange Act of 1934, as amended, is recorded, processed, summarized and reported within the time periods specified in the rules and forms of the Securities and Exchange Commission. It should be noted that the design of any system of controls is based in part upon certain assumptions about the likelihood of future events, and there can be no assurance that any design will succeed in achieving its stated goals under all potential future conditions, regardless of how remote. However, the controls have been designed to provide reasonable assurance of achieving the controls’ stated goals. Based on that evaluation, the Company’s Chief Executive Officer and Chief Financial Officer have concluded that the Company’s disclosure controls and procedures are effective to provide reasonable assurance at June 30, 2026 that information required to be disclosed in the reports that we file or submit under the Exchange Act is (i) accumulated and communicated to management, including the Company’s Chief Executive Officer and Chief Financial Officer, to allow timely decisions regarding required disclosure and (ii) recorded, processed, summarized and reported within the time periods specified in the rules and forms of the Securities and Exchange Commission.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(b)Management’s Report on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Management’s Report on Internal Control over Financial Reporting is included in Item 8 of this Annual Report and incorporated herein by reference.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(c)Attestation Report of the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effectiveness of Kennametal’s internal control over financial reporting as of June 30, 2026 has been audited by PricewaterhouseCoopers LLP, an independent registered public accounting firm, as stated in their report included in Item 8 of this Annual Report, which is incorporated herein by reference.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internal control over financial reporting that occurred during the fourth quarter of 2026 that have materially affected, or are reasonably likely to materially affect, the Company’s internal control over financial reporting.</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9B — OTHER INFORMATION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quarter ended June 30, 2026, none of our directors or officers (as defined in Rule 16a-1(f) of the Exchange Act) adopted, modified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9C — DISCLOSURE REGARDING FOREIGN JURISDICTIONS THAT PREVENT INSPECTIONS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 DIRECTORS, EXECUTIVE OFFICERS AND CORPORATE GOVERNANCE</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160" w:after="283"/>
        <w:jc w:val="left"/>
        <w:rPr/>
      </w:pPr>
      <w:r>
        <w:rPr>
          <w:rFonts w:ascii="Times New Roman;serif" w:hAnsi="Times New Roman;serif"/>
          <w:b w:val="false"/>
          <w:color w:val="000000"/>
          <w:sz w:val="20"/>
        </w:rPr>
        <w:t xml:space="preserve">Information regarding the executive officers of Kennametal Inc. is as follows: Name, Age, Position, and Experience during the Past Five Years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Sanjay Chowbey, 58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since June 2024; Vice President, Kennametal Inc. and President, Metal Cutting Business Segment from 2021 to 2024; Formerly, President, Services and Solutions of Flowserve from 2019 to 2021 and Senior Vice President and President of TE SubCom from 2017 to 2018. Previously spent over 11 years at Danaher / Fortive Corporation (from 2006 through 2017) serving in various roles of increasing responsibility, the latest being President, Thomson Industries.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Judith L. Bacchus, 64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Chief Administrative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Chief Administrative Officer since May 2019; Vice President and Chief Human Resources and Corporate Relations Officer since December 2015; Vice President and Chief Human Resources Officer from June 2011 to November 2015.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Dave Bersaglini, 53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Kennametal Inc. and President, Metal Cutting Business Segment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Kennametal Inc. and President, Metal Cutting Business Segment since August 2024; Formerly Vice President and General Manager of the Global Refrigeration business of Copeland, a spinoff from Emerson corporation from 2023 to 2024, Vice President and General Manager of the Refrigeration Americas business of Copeland from 2017 to 2023, Vice President, Strategic Planning Corporate at Emerson from 2014 to 2017. Previously held various other positions at Emerson with increasing responsibility starting in 2001 in the areas of manufacturing, global product strategy, engineering development, sales and marketing.</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Faisal Hamadi, 41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Kennametal Inc. and President, Infrastructure Business Segment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Kennametal Inc. and President, Infrastructure Business Segment since January 2025; Formerly, Vice President Value Creation Systems Office from 2024 to January 2025; Previously held positions of increasing responsibility for 17 years at Eaton Corporation.</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Michelle R. Keating, 50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Secretary and General Counsel, Kennametal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Secretary and General Counsel, Kennametal Inc. since December 2016; Vice President, Secretary and Interim General Counsel from July 2016 to December 2016; Vice President, Associate General Counsel &amp; Assistant Secretary from March 2016 to July 2016; Assistant General Counsel &amp; Assistant Secretary from August 2011 to February 2016.</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Carlonda R. Reilly, 58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and Chief Technology Officer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Chief Technology Officer since September 2018; Formerly, Global Technology Director in Transportation and Advanced Polymers business at DuPont from January 2016 to September 2018 and Global Technology Director in Building Innovations at DuPont from 2013 to January 2016.</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Patrick S. Watson, 53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Finance and 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Finance and Chief Financial Officer since June 2022; Formerly, Vice President Finance and Corporate Controller, Kennametal Inc. from March 2017 to June 2022; Vice President Finance - Industrial Business from March 2014 to February 2017; Director Finance, Kennametal EMEA from August 2011 to August 2014.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John W. Witt, 47</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Finance and Corporate Controller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Finance and Corporate Controller since June 2022; Formerly, Director, Internal Audit, Kennametal Inc. from April 2019 to June 2022; Assistant Corporate Controller, Kennametal Inc. from August 2018 to April 2019; Assurance Director at PricewaterhouseCoopers ("PwC") from July 2016 to August 2018 and prior to this in other roles of increasing responsibility at PwC.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Each executive officer has been elected by the Board of Directors to serve until removed or until a successor is elected and qualified. Unless otherwise noted, none of the executive officers (i) has an arrangement or understanding with any other person(s) pursuant to which he or she was selected as an officer, (ii) has any family relationship with any director or executive officer of the Company, or (iii) is involved in any legal proceeding which would require disclosure under this item.</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 is the information to be provided under the captions “Proposal I. Election of Directors” in our definitive proxy statement to be filed with the Securities and Exchange Commission within 120 days after June 30, 2026 (2026 Proxy Statement). Also incorporated herein by reference is the information to be set forth under the caption “Ethics and Corporate Governance-Code of Conduct” and "Ethics and Corporate Governance-Corporate Governance" in the 2026 Proxy Statement.</w:t>
      </w:r>
    </w:p>
    <w:p>
      <w:pPr>
        <w:pStyle w:val="TextBody"/>
        <w:bidi w:val="0"/>
        <w:spacing w:lineRule="auto" w:line="288" w:before="120" w:after="283"/>
        <w:jc w:val="left"/>
        <w:rPr/>
      </w:pPr>
      <w:r>
        <w:rPr>
          <w:rFonts w:ascii="Times New Roman;serif" w:hAnsi="Times New Roman;serif"/>
          <w:b w:val="false"/>
          <w:color w:val="000000"/>
          <w:sz w:val="20"/>
        </w:rPr>
        <w:t>The Company has adopted an insider trading policy governing the purchase, sale, and/or other disposition of its securities by its directors, officers, employees and other covered persons. The Company believes this policy is reasonably designed to promote compliance with insider trading laws, rules, and regulations, and the NYSE listing standards.</w:t>
      </w:r>
      <w:r>
        <w:rPr>
          <w:color w:val="333333"/>
        </w:rPr>
        <w:t xml:space="preserve"> </w:t>
      </w:r>
      <w:r>
        <w:rPr>
          <w:rFonts w:ascii="Times New Roman;serif" w:hAnsi="Times New Roman;serif"/>
          <w:b w:val="false"/>
          <w:color w:val="000000"/>
          <w:sz w:val="20"/>
        </w:rPr>
        <w:t>A copy of this policy is filed as Exhibit 19.1 to this Annual Report.</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separately designated standing Audit Committee established in accordance with Section 3(a) (58) (A) of the Exchange Act. The members of the Audit Committee are: Douglas T. Dietrich (Chair); Shelley Bausch; Sagar A. Patel; and Paul Sternlieb. Incorporated herein by reference is the information provided under the caption “Board of Directors and Board Committees-Committee Functions-Audit Committee” in the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11 — EXECUTIVE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 from our 2026 Proxy Statement is the information to be set forth under the captions “Executive Compensation, Compensation Discussion and Analysis,” "Compensation and Human Capital Committee Report," "Analysis of Risk Inherent in our Compensation Policies and Practices," "Executive Compensation Tables," "2026 Nonqualified Deferred Compensation," "Retirement Programs" and "Potential Payments Upon Termination or Change in Control." Also incorporated herein by reference from our 2026 Proxy Statement is the information to be set forth under the captions “Board of Directors Compensation and Benefits” and “Board of Directors and Board Committees - Committee Functions - Compensation and Human Capital Committee Interlocks and Insider Participation."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12 — SECURITY OWNERSHIP OF CERTAIN BENEFICIAL OWNERS AND MANAGEMENT AND RELATED STOCKHOLDER MATTERS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 from our 2026 Proxy Statement are: (i) the information to be set forth under the caption “Equity Compensation Plans,” (ii) the information to be set forth under the caption “Ownership of Capital Stock by Directors, Nominees and Executive Officers” with respect to the directors’ and officers’ shareholdings; and (iii) the information to be set forth under the caption “Principal Holders of Voting Securities” with respect to other beneficial owners.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13 — CERTAIN RELATIONSHIPS AND RELATED TRANSACTIONS, AND DIRECTOR INDEPENDENCE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 is the information to be set forth under the captions “Ethics and Corporate Governance-Corporate Governance-Board of Director Review and Approval of Related Person Transactions,” “Executive Compensation,” “Executive Compensation Tables” and “Ethics and Corporate Governance-Corporate Governance-Board Composition and Independence” in the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14 — PRINCIPAL ACCOUNTING FEES AND SERVICES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Incorporated herein by reference is the information with respect to pre-approval policies set forth under the caption “Proposal II. Ratification of PricewaterhouseCoopers LLP (PCAOB ID 238) as our Independent Registered Public Accounting Firm for the Fiscal Year ending June 30, 2027-Audit Committee Pre-Approval Policy” and the information with respect to principal accountant fees and services set forth under “Proposal II. Ratification of PricewaterhouseCoopers LLP as our Independent Registered Public Accounting Firm for the Fiscal Year ending June 30, 2027-Fees and Services” to be set forth in the 2026 Proxy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left"/>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r>
        <w:rPr>
          <w:color w:val="000000"/>
        </w:rPr>
        <w:t> </w:t>
      </w:r>
    </w:p>
    <w:tbl>
      <w:tblPr>
        <w:tblW w:w="8285"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210"/>
        <w:gridCol w:w="210"/>
        <w:gridCol w:w="210"/>
        <w:gridCol w:w="210"/>
        <w:gridCol w:w="210"/>
        <w:gridCol w:w="210"/>
        <w:gridCol w:w="1181"/>
        <w:gridCol w:w="1181"/>
        <w:gridCol w:w="173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KENNAMETAL INC.</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W. Witt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W. Witt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Finance and Corporate Controller</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8677" w:type="dxa"/>
        <w:jc w:val="left"/>
        <w:tblInd w:w="0" w:type="dxa"/>
        <w:tblLayout w:type="fixed"/>
        <w:tblCellMar>
          <w:top w:w="28" w:type="dxa"/>
          <w:left w:w="28" w:type="dxa"/>
          <w:bottom w:w="28" w:type="dxa"/>
          <w:right w:w="28" w:type="dxa"/>
        </w:tblCellMar>
      </w:tblPr>
      <w:tblGrid>
        <w:gridCol w:w="897"/>
        <w:gridCol w:w="787"/>
        <w:gridCol w:w="790"/>
        <w:gridCol w:w="109"/>
        <w:gridCol w:w="109"/>
        <w:gridCol w:w="109"/>
        <w:gridCol w:w="1344"/>
        <w:gridCol w:w="1344"/>
        <w:gridCol w:w="1361"/>
        <w:gridCol w:w="109"/>
        <w:gridCol w:w="109"/>
        <w:gridCol w:w="109"/>
        <w:gridCol w:w="438"/>
        <w:gridCol w:w="438"/>
        <w:gridCol w:w="62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SANJAY CHOWBEY</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Sanjay Chowbey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S. WATSON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Patrick S. Watson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JOHN W. WITT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W. Witt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Finance and Corporate Controller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M. LAMBERT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M. Lambert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JOSEPH ALVARADO</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Joseph Alvarado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SHELLEY BAUSCH</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Shelley Bausch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DOUGLAS T. DIETRICH</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Douglas T. Dietrich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LORRAINE M. MARTIN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Lorraine M. Martin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SAGAR A. PATEL</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Sagar A. Patel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PAUL STERNLIEB</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Paul Sternlieb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15 — EXHIBITS, FINANCIAL STATEMENT SCHEDULES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(a) Documents filed as part of this Form 10-K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Financial Statements included in Part II, Item 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Financial Statement Schedule</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financial statement schedule required by Part II, Item 8 of this document is filed as part of this report. All of the other schedules are omitted as the required information is inapplicable or the information is presented in our consolidated financial statements or related notes.</w:t>
      </w:r>
    </w:p>
    <w:tbl>
      <w:tblPr>
        <w:tblW w:w="4257" w:type="dxa"/>
        <w:jc w:val="center"/>
        <w:tblInd w:w="0" w:type="dxa"/>
        <w:tblLayout w:type="fixed"/>
        <w:tblCellMar>
          <w:top w:w="28" w:type="dxa"/>
          <w:left w:w="28" w:type="dxa"/>
          <w:bottom w:w="28" w:type="dxa"/>
          <w:right w:w="28" w:type="dxa"/>
        </w:tblCellMar>
      </w:tblPr>
      <w:tblGrid>
        <w:gridCol w:w="1227"/>
        <w:gridCol w:w="1078"/>
        <w:gridCol w:w="1084"/>
        <w:gridCol w:w="165"/>
        <w:gridCol w:w="165"/>
        <w:gridCol w:w="166"/>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167c182ee540baa304b410154a8570_205">
              <w:r>
                <w:rPr>
                  <w:rStyle w:val="InternetLink"/>
                  <w:rFonts w:ascii="Times New Roman;serif" w:hAnsi="Times New Roman;serif"/>
                  <w:b w:val="false"/>
                  <w:color w:val="0000FF"/>
                  <w:sz w:val="20"/>
                  <w:u w:val="single"/>
                </w:rPr>
                <w:t>78</w:t>
              </w:r>
            </w:hyperlink>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Schedule II—Valuation and Qualifying Accounts for the Years Ended June 30, 2026, 2025 and 2024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4"/>
        <w:gridCol w:w="227"/>
        <w:gridCol w:w="109"/>
        <w:gridCol w:w="109"/>
        <w:gridCol w:w="109"/>
        <w:gridCol w:w="109"/>
        <w:gridCol w:w="1731"/>
        <w:gridCol w:w="1710"/>
        <w:gridCol w:w="1714"/>
        <w:gridCol w:w="109"/>
        <w:gridCol w:w="109"/>
        <w:gridCol w:w="109"/>
        <w:gridCol w:w="1163"/>
        <w:gridCol w:w="1091"/>
        <w:gridCol w:w="1552"/>
      </w:tblGrid>
      <w:tr>
        <w:trPr/>
        <w:tc>
          <w:tcPr>
            <w:tcW w:w="2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Articles of Incorporation and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Articles of Incorporation of Kennametal Inc., as amended and restated through October 28, 2014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3.(i) of the Form 8-K filed October 30, 2014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By-Laws of Kennametal Inc., as amended and restated through July 26,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of the Form 8-K filed July 28, 2016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Instruments Defining the Rights of Security Holders, Including Indentures</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Indenture, dated as of June 19, 2002, by and between the Registrant and Bank One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4.1 of the Form 8-K filed June 20, 2002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First Supplemental Indenture, dated as of June 19, 2002, by and between the Registrant and Bank One Trust Company, N.A.,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4.2 of the Form 8-K filed June 20, 2002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Indenture dated February 14, 2012 between Kennametal Inc. and U.S. Bank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4.1 of the Form 8-K filed February 14, 2012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First Supplemental Indenture dated February 14, 2012 between Kennametal Inc. and U.S. Bank National Association (including Form of 3.875% Note due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4.2 of the Form 8-K filed February 14, 2012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Second Supplemental Indenture dated November 7, 2012 between Kennametal Inc. and U.S. Bank National Association (including Form of 2.650% Note due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4.4 of the Form 8-K filed November 7, 2012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Third Supplemental Indenture dated June 7, 2018 between Kennametal Inc. and U.S. Bank National Association (including Form of 4.625% Note due June 15, 2028).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4.1 of the Form 8-K filed June 7, 2018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Fourth Supplemental Indenture dated February 23, 2021 between Kennametal Inc. and U.S. Bank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4.1 of the Form 8-K filed February 23, 2021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imes New Roman;serif" w:hAnsi="Times New Roman;serif"/>
                  <w:b w:val="false"/>
                  <w:color w:val="0000FF"/>
                  <w:sz w:val="18"/>
                  <w:u w:val="single"/>
                </w:rPr>
                <w:t>Form of 2.800% Senior Note due March 1, 2031 (form included in Fourth Supplemental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4.1 of the Form 8-K filed February 23, 2021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Fifth Supplemental Indenture dated May 28, 2026 between Kennametal Inc. and U.S. Bank Trust Company, National Association (as successor in interest to U.S. Bank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4.1 of the Form 8-K filed May 28, 2026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Form of 5.800% Senior Note due May 28, 2036 (form included in Fifth Supplemental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Exhibit 4.1 of the Form 8-K filed May 28, 2026 (2016 (File No. 001-05318) is incorporated herein by reference.</w:t>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411.htm">
              <w:r>
                <w:rPr>
                  <w:rStyle w:val="InternetLink"/>
                  <w:rFonts w:ascii="Times New Roman;serif" w:hAnsi="Times New Roman;serif"/>
                  <w:b w:val="false"/>
                  <w:color w:val="0000FF"/>
                  <w:sz w:val="18"/>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Material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Deferred Fee Plan for Outside Directors, as amended and restated effective December 30, 2008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of the December 31, 2008 Form 10-Q filed February 4, 2009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Directors Stock Incentive Plan, as amended and restated effective December 30, 2008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10.2 of the December 31, 2008 Form 10-Q filed February 4, 2009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Performance Bonus Stock Plan of 1995, as amended and restated effective December 30, 2008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10.3 of the December 31, 2008 Form 10-Q filed February 4, 2009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Form of Indemnification Agreement for Named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10.2 of the Form 8-K filed March 22, 2005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5.htm">
              <w:r>
                <w:rPr>
                  <w:rStyle w:val="InternetLink"/>
                  <w:rFonts w:ascii="Times New Roman;serif" w:hAnsi="Times New Roman;serif"/>
                  <w:b w:val="false"/>
                  <w:color w:val="0000FF"/>
                  <w:sz w:val="18"/>
                  <w:u w:val="single"/>
                </w:rPr>
                <w:t>Schedule of Named Executive Officers who have entered into the Form of Indemnification Agreement as set forth in Exhibit 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Kennametal Inc. Executive Retirement Plan (for Designated Officers) (as amended effective December 30, 2008)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10.8 of the December 31, 2008 Form 10-Q filed February 4, 2009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Amendment No. 1 to Kennametal Inc. Executive Retirement Plan (dated January 27,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10.2 to the Form 8-K dated February 2, 2015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Amendment No. 2 to Kennametal Inc. Executive Retirement Plan (dated June 18,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of the Form 8-K filed June 23, 2015 (File No. 001-05318) is incorporated herein by reference.</w:t>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Description of Compensation Payable to Non-Employee Directors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10.12 of the Form 10-K filed August 10, 2018 (File No. 001-05318)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9"/>
        <w:gridCol w:w="175"/>
        <w:gridCol w:w="177"/>
        <w:gridCol w:w="109"/>
        <w:gridCol w:w="109"/>
        <w:gridCol w:w="109"/>
        <w:gridCol w:w="1940"/>
        <w:gridCol w:w="1834"/>
        <w:gridCol w:w="1839"/>
        <w:gridCol w:w="109"/>
        <w:gridCol w:w="109"/>
        <w:gridCol w:w="109"/>
        <w:gridCol w:w="989"/>
        <w:gridCol w:w="989"/>
        <w:gridCol w:w="1409"/>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Form of Kennametal Inc. Nonstatutory Stock Option Award (granted under the Kennametal Inc. Stock and Incentive Plan of 2010)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10.5 of Form 10-Q filed February 8, 2011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Form of Kennametal Inc. Nonstatutory Stock Option Award for Non-Employee Directors (granted under the Kennametal Inc. Stock and Incentive Plan of 2010)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10.6 of Form 10-Q filed February 8, 2011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Appendix A of the 2013 Proxy Statement filed September 17, 2013 (File No. 001-05318) is incorporated herein by reference. </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 xml:space="preserve">Form of Kennametal Inc. Restricted Unit Award (granted under the Kennametal Inc. Stock and Incentive Plan of 2010 (As Amended and Restated October 22, 2013))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10.39 of Form 10-K filed August 13, 2014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Form of Kennametal Inc. Nonstatutory Stock Option Award (granted under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10.41 of Form 10-K filed August 13, 2014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Form of Kennametal Inc. Nonstatutory Stock Option Award for Non-Employee Directors (granted under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10.42 of Form 10-K filed August 13, 2014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 xml:space="preserve">Form of Kennametal Inc. Cash Settled Share-Based Award for China-based Employees (granted under the Kennametal Inc. Stock and Incentive Plan of 2010 (As Amended and Restated October 22, 2013))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10.43 of Form 10-K filed August 13, 2014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Form of Kennametal Inc. Restricted Unit Award - Alternate Form (granted under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10.45 of Form 10-K filed August 13, 2014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 xml:space="preserve">Form of Kennametal Inc. Nonstatutory Stock Option Award - Alternate Form (granted under the Kennametal Inc. Stock and Incentive Plan of 2010 (As Amended and Restated October 22, 2013))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10.46 of Form 10-K filed August 13, 2014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18"/>
                  <w:u w:val="single"/>
                </w:rPr>
                <w:t>Form of Kennametal Inc. Performance Unit Award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10.3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18"/>
                  <w:u w:val="single"/>
                </w:rPr>
                <w:t>Form of Kennametal Inc. Restricted Unit Award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18"/>
                  <w:u w:val="single"/>
                </w:rPr>
                <w:t>Form of Kennametal Inc. Restricted Unit Award for Non-Employee Directors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10.5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18"/>
                  <w:u w:val="single"/>
                </w:rPr>
                <w:t>Form of Kennametal Inc. Restricted Unit Award - Alternate Form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10.6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18"/>
                  <w:u w:val="single"/>
                </w:rPr>
                <w:t>Form of Kennametal Inc. Nonstatutory Stock Option Award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10.8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18"/>
                  <w:u w:val="single"/>
                </w:rPr>
                <w:t>Form of Kennametal Inc. Nonstatutory Stock Option Award for Non-Employee Directors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10.9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18"/>
                  <w:u w:val="single"/>
                </w:rPr>
                <w:t>Form of Kennametal Inc. Nonstatutory Stock Option Award - Alternate Form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10.10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18"/>
                  <w:u w:val="single"/>
                </w:rPr>
                <w:t>Form of Kennametal Inc. Cash Settled Share-Based Award for China-based Employees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10.12 to the Form 8-K dated February 2,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18"/>
                  <w:u w:val="single"/>
                </w:rPr>
                <w:t>Form of Kennametal Inc. Performance Unit Award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to the Form 8-K dated July 30, 2015, (File No. 001-05318) is incorporated herein by reference.</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18"/>
                  <w:u w:val="single"/>
                </w:rPr>
                <w:t>Form of Kennametal Inc. Restricted Unit Award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10.3 to the Form 8-K dated July 30, 2015, (File No. 001-05318)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4"/>
        <w:gridCol w:w="170"/>
        <w:gridCol w:w="172"/>
        <w:gridCol w:w="109"/>
        <w:gridCol w:w="109"/>
        <w:gridCol w:w="109"/>
        <w:gridCol w:w="2533"/>
        <w:gridCol w:w="2196"/>
        <w:gridCol w:w="2203"/>
        <w:gridCol w:w="109"/>
        <w:gridCol w:w="109"/>
        <w:gridCol w:w="109"/>
        <w:gridCol w:w="608"/>
        <w:gridCol w:w="608"/>
        <w:gridCol w:w="867"/>
      </w:tblGrid>
      <w:tr>
        <w:trPr/>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18"/>
                  <w:u w:val="single"/>
                </w:rPr>
                <w:t>Form of Kennametal Inc. Restricted Unit Award - Alternate Form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10.5 to the Form 8-K dated July 30, 2015, (File No. 001-05318) is incorporated herein by reference.</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8"/>
                  <w:u w:val="single"/>
                </w:rPr>
                <w:t>Form of Kennametal Inc. Cash Settled Share-Based Award for China-based Employees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10.6 to the Form 8-K dated July 30, 2015, (File No. 001-05318) is incorporated herein by reference.</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18"/>
                  <w:u w:val="single"/>
                </w:rPr>
                <w:t>Form of Kennametal Inc. Nonstatutory Stock Option Award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10.7 to the Form 8-K dated July 30, 2015, (File No. 001-05318) is incorporated herein by reference.</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18"/>
                  <w:u w:val="single"/>
                </w:rPr>
                <w:t>Form of Kennametal Inc. Nonstatutory Stock Option Award - Alternate Form (granted under Amendment No. 1 to the Kennametal Inc. Stock and Incentive Plan of 2010 (As Amended and Restated October 22, 2013))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10.9 to the Form 8-K dated July 30, 2015, (File No. 001-05318) is incorporated herein by reference.</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"https://www.sec.gov/Archives/edgar/data/55242/000119312516707973/d180212ddef14a.htm" \l "toc180212_38"</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Kennametal Inc. 2016 Stock and Incentive Plan</w:t>
            </w:r>
            <w:r>
              <w:rPr>
                <w:rStyle w:val="InternetLink"/>
                <w:sz w:val="18"/>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Appendix C of 2016 Proxy Statement filed September 13, 2016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18"/>
                  <w:u w:val="single"/>
                </w:rPr>
                <w:t>Form of Kennametal Inc. Performance Unit Award (granted under Kennametal Inc. Stock and Incentive Plan of 2010, as amended and restated on October 22, 2013, and amended on January 27, 2015)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of the Form 10-Q filed November 7, 2016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18"/>
                  <w:u w:val="single"/>
                </w:rPr>
                <w:t>Form of Kennametal Inc. Restricted Unit Award (granted under the Kennametal Inc. 2016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10.4 of the Form 10-Q filed November 7, 2016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18"/>
                  <w:u w:val="single"/>
                </w:rPr>
                <w:t>Form of Kennametal Inc. Cash Settled Share-Based Award for China-Based Employees (granted under the Kennametal Inc. 2016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10.5 of the Form 10-Q filed November 7, 2016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18"/>
                  <w:u w:val="single"/>
                </w:rPr>
                <w:t>Form of Kennametal Inc. Restricted Stock Unit Award (three year cliff vest) (granted under the Kennametal Inc. 2016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of the Form 10-Q filed February 8, 2017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18"/>
                  <w:u w:val="single"/>
                </w:rPr>
                <w:t xml:space="preserve">Form of Updated Kennametal Inc. Restricted Unit Award (granted under the Kennametal Inc. Stock and Incentive Plan of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10.74 to Form 10-K filed August 14, 2017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18"/>
                  <w:u w:val="single"/>
                </w:rPr>
                <w:t xml:space="preserve">Form of Kennametal Inc. Restricted Unit Award for Non-Employee Directors (granted under the Kennametal Inc. Stock and Incentive Plan of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10.75 to Form 10-K filed August 14, 2017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18"/>
                  <w:u w:val="single"/>
                </w:rPr>
                <w:t xml:space="preserve">Form of Kennametal Inc. Cash-Settled Restricted Unit Award for China-based Employees (granted under the Kennametal Inc. Stock and Incentive Plan of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10.76 to Form 10-K filed August 14, 2017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18"/>
                  <w:u w:val="single"/>
                </w:rPr>
                <w:t>Form of Updated Kennametal Inc. Cash-Settled Restricted Unit Award for China-based Employees (granted under the Kennametal Inc. Stock and Incentive Plan of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10.52 to Form 10-K filed August 13, 2019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18"/>
                  <w:u w:val="single"/>
                </w:rPr>
                <w:t xml:space="preserve">Form of Kennametal Inc. Performance Unit Award (granted under the Kennametal Inc. Stock and Incentive Plan of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10.77 to Form 10-K filed August 14, 2017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18"/>
                  <w:u w:val="single"/>
                </w:rPr>
                <w:t xml:space="preserve">Form of Fiscal 2020 Kennametal Inc. Performance Unit Award (granted under the Kennametal Inc. Stock and Incentive Plan of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10.54 to Form 10-K filed August 13, 2019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18"/>
                  <w:u w:val="single"/>
                </w:rPr>
                <w:t xml:space="preserve">Form of Kennametal Inc. Retention Restricted Unit Award (granted under the Kennametal Inc. Stock and Incentive Plan of 2016)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10.78 to Form 10-K filed August 14, 2017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r:id="rId58">
              <w:r>
                <w:rPr>
                  <w:rStyle w:val="InternetLink"/>
                  <w:rFonts w:ascii="Times New Roman;serif" w:hAnsi="Times New Roman;serif"/>
                  <w:b w:val="false"/>
                  <w:color w:val="0000FF"/>
                  <w:sz w:val="18"/>
                  <w:u w:val="single"/>
                </w:rPr>
                <w:t>Kennametal Inc. Restoration Plan (dated January 1,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18"/>
              </w:rPr>
            </w:pPr>
            <w:r>
              <w:rPr>
                <w:rFonts w:ascii="Times New Roman;serif" w:hAnsi="Times New Roman;serif"/>
                <w:b w:val="false"/>
                <w:color w:val="000000"/>
                <w:sz w:val="18"/>
              </w:rPr>
              <w:t>Exhibit 10.1 of the Form 8-K filed November 3, 2017 (File No. 001-05318) is incorporated herein by reference.</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r:id="rId59">
              <w:r>
                <w:rPr>
                  <w:rStyle w:val="InternetLink"/>
                  <w:rFonts w:ascii="Times New Roman;serif" w:hAnsi="Times New Roman;serif"/>
                  <w:b w:val="false"/>
                  <w:color w:val="0000FF"/>
                  <w:sz w:val="18"/>
                  <w:u w:val="single"/>
                </w:rPr>
                <w:t>Kennametal Inc. Restoration Plan Adoption Agreement (dated January 1,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18"/>
              </w:rPr>
            </w:pPr>
            <w:r>
              <w:rPr>
                <w:rFonts w:ascii="Times New Roman;serif" w:hAnsi="Times New Roman;serif"/>
                <w:b w:val="false"/>
                <w:color w:val="000000"/>
                <w:sz w:val="18"/>
              </w:rPr>
              <w:t>Exhibit 10.2 of the Form 8-K filed November 3, 2017 (File No. 001-05318) is incorporated herein by reference.</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18"/>
                  <w:u w:val="single"/>
                </w:rPr>
                <w:t>Second Amendment to the Kennametal Inc. Restoration Plan (dated July 1,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10.59 to Form 10-K filed August 13, 2019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18"/>
                  <w:u w:val="single"/>
                </w:rPr>
                <w:t>2018 Form of Officer’s Employment Agreement with certain Named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10.60 of the Form 10-K filed August 10, 2018 (File No. 001-05318) is incorporated by reference herein.</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50.htm">
              <w:r>
                <w:rPr>
                  <w:rStyle w:val="InternetLink"/>
                  <w:rFonts w:ascii="Times New Roman;serif" w:hAnsi="Times New Roman;serif"/>
                  <w:b w:val="false"/>
                  <w:color w:val="0000FF"/>
                  <w:sz w:val="18"/>
                  <w:u w:val="single"/>
                </w:rPr>
                <w:t>Schedule of Executive Officers who have entered into the 2018 Form of Officer's Employment Agreement as set forth in Exhibit 10.49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r:id="rId62">
              <w:r>
                <w:rPr>
                  <w:rStyle w:val="InternetLink"/>
                  <w:rFonts w:ascii="Times New Roman;serif" w:hAnsi="Times New Roman;serif"/>
                  <w:b w:val="false"/>
                  <w:color w:val="0000FF"/>
                  <w:sz w:val="18"/>
                  <w:u w:val="single"/>
                </w:rPr>
                <w:t>Sixth Amended and Restated Credit Agreement dated as of June 14, 2022, among Kennametal Inc. and Kennametal Europe GmbH (the “Borrowers”) and the several banks and other financial institutions or entities from time to time parties thereto (the “Lenders”), Bank of America, N.A., London Branch, as Euro Swingline Lender, PNC Bank, National Association and JPMorgan Chase Bank, N.A., as co-syndication agents, BNP Paribas, Citizens Bank, N.A., Mizuho Bank, Ltd., and U.S. Bank National Association, as co-documentation agents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of the Form 8-K filed June 15, 2022 (File No. 001-05318)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
        <w:gridCol w:w="172"/>
        <w:gridCol w:w="174"/>
        <w:gridCol w:w="109"/>
        <w:gridCol w:w="109"/>
        <w:gridCol w:w="109"/>
        <w:gridCol w:w="2294"/>
        <w:gridCol w:w="2100"/>
        <w:gridCol w:w="2107"/>
        <w:gridCol w:w="109"/>
        <w:gridCol w:w="109"/>
        <w:gridCol w:w="109"/>
        <w:gridCol w:w="732"/>
        <w:gridCol w:w="732"/>
        <w:gridCol w:w="104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3">
              <w:r>
                <w:rPr>
                  <w:rStyle w:val="InternetLink"/>
                  <w:rFonts w:ascii="Times New Roman;serif" w:hAnsi="Times New Roman;serif"/>
                  <w:b w:val="false"/>
                  <w:color w:val="0000FF"/>
                  <w:sz w:val="18"/>
                  <w:u w:val="single"/>
                </w:rPr>
                <w:t>Form of Kennametal Inc. Restricted Unit Award (three-year cliff vest)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10.1 of the Form 10-Q filed February 3, 2021 (File No. 001-05318) is incorporated herein by reference.</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4">
              <w:r>
                <w:rPr>
                  <w:rStyle w:val="InternetLink"/>
                  <w:rFonts w:ascii="Times New Roman;serif" w:hAnsi="Times New Roman;serif"/>
                  <w:b w:val="false"/>
                  <w:color w:val="0000FF"/>
                  <w:sz w:val="18"/>
                  <w:u w:val="single"/>
                </w:rPr>
                <w:t>Form of Kennametal Inc. Restricted Unit Award (two-year cliff vest)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10.2 of the Form 10-Q filed February 3, 2021 (File No. 001-05318) is incorporated herein by reference.</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5">
              <w:r>
                <w:rPr>
                  <w:rStyle w:val="InternetLink"/>
                  <w:rFonts w:ascii="Times New Roman;serif" w:hAnsi="Times New Roman;serif"/>
                  <w:b w:val="false"/>
                  <w:color w:val="0000FF"/>
                  <w:sz w:val="18"/>
                  <w:u w:val="single"/>
                </w:rPr>
                <w:t>Form of Kennametal Inc. Cash-Settled Long-Term Incentive Award for China-based employees (two-year cliff vest)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10.3 of the Form 10-Q filed February 3, 2021 (File No. 001-05318) is incorporated herein by reference.</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6">
              <w:r>
                <w:rPr>
                  <w:rStyle w:val="InternetLink"/>
                  <w:rFonts w:ascii="Times New Roman;serif" w:hAnsi="Times New Roman;serif"/>
                  <w:b w:val="false"/>
                  <w:color w:val="0000FF"/>
                  <w:sz w:val="18"/>
                  <w:u w:val="single"/>
                </w:rPr>
                <w:t>Form of Kennametal Inc. Restricted Unit Award for Non-Employee Directors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10.4 of the Form 10-Q filed February 3, 2021 (File No. 001-05318) is incorporated herein by reference.</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7">
              <w:r>
                <w:rPr>
                  <w:rStyle w:val="InternetLink"/>
                  <w:rFonts w:ascii="Times New Roman;serif" w:hAnsi="Times New Roman;serif"/>
                  <w:b w:val="false"/>
                  <w:color w:val="0000FF"/>
                  <w:sz w:val="18"/>
                  <w:u w:val="single"/>
                </w:rPr>
                <w:t>Form of Kennametal Inc. Restricted Unit Award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10.5 of the Form 10-Q filed February 3, 2021 (File No. 001-05318) is incorporated herein by reference.</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8">
              <w:r>
                <w:rPr>
                  <w:rStyle w:val="InternetLink"/>
                  <w:rFonts w:ascii="Times New Roman;serif" w:hAnsi="Times New Roman;serif"/>
                  <w:b w:val="false"/>
                  <w:color w:val="0000FF"/>
                  <w:sz w:val="18"/>
                  <w:u w:val="single"/>
                </w:rPr>
                <w:t>Form of Kennametal Inc. Cash-Settled Long-Term Incentive Award for China-based employees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10.6 of the Form 10-Q filed February 3, 2021 (File No. 001-05318) is incorporated herein by reference.</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9">
              <w:r>
                <w:rPr>
                  <w:rStyle w:val="InternetLink"/>
                  <w:rFonts w:ascii="Times New Roman;serif" w:hAnsi="Times New Roman;serif"/>
                  <w:b w:val="false"/>
                  <w:color w:val="0000FF"/>
                  <w:sz w:val="18"/>
                  <w:u w:val="single"/>
                </w:rPr>
                <w:t>Form of Kennametal Inc. Performance Unit Award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10.65 to Form 10-K filed August 10, 2021 (File No. 001-05318) is incorporated by reference herein.</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0">
              <w:r>
                <w:rPr>
                  <w:rStyle w:val="InternetLink"/>
                  <w:rFonts w:ascii="Times New Roman;serif" w:hAnsi="Times New Roman;serif"/>
                  <w:b w:val="false"/>
                  <w:color w:val="0000FF"/>
                  <w:sz w:val="18"/>
                  <w:u w:val="single"/>
                </w:rPr>
                <w:t>Kennametal Inc. 2020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Appendix B of 2020 Proxy Statement filed September 15, 2020 (File No. 001-05318) is incorporated by reference herein.</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1">
              <w:r>
                <w:rPr>
                  <w:rStyle w:val="InternetLink"/>
                  <w:rFonts w:ascii="Times New Roman;serif" w:hAnsi="Times New Roman;serif"/>
                  <w:b w:val="false"/>
                  <w:color w:val="0000FF"/>
                  <w:sz w:val="18"/>
                  <w:u w:val="single"/>
                </w:rPr>
                <w:t>Form of Kennametal Inc. Cash-Settled Performance Unit Award for China-based employees (granted under the 2020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Exhibit 10.66 to Form 10-K filed August 9, 2023 (File No. 001-05318) is incorporated by reference herein.</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18"/>
                  <w:u w:val="single"/>
                </w:rPr>
                <w:t>Form of Officer's Employment Agreement with President and CEO Sanjay Chowbey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10.67 to Form 10-K filed August 12, 2024 (File No. 001-05318) is incorporated by reference herein.</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18"/>
                  <w:u w:val="single"/>
                </w:rPr>
                <w:t>Kennametal Inc. 2024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Appendix B of 2024 Proxy Statement filed September 17, 2024 (File No. 001-05318) is incorporated by reference herein</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63.htm">
              <w:r>
                <w:rPr>
                  <w:rStyle w:val="InternetLink"/>
                  <w:rFonts w:ascii="Times New Roman;serif" w:hAnsi="Times New Roman;serif"/>
                  <w:b w:val="false"/>
                  <w:color w:val="0000FF"/>
                  <w:sz w:val="18"/>
                  <w:u w:val="single"/>
                </w:rPr>
                <w:t>Form of Kennametal Inc. Restricted Unit Award (three-year cliff vest)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64.htm">
              <w:r>
                <w:rPr>
                  <w:rStyle w:val="InternetLink"/>
                  <w:rFonts w:ascii="Times New Roman;serif" w:hAnsi="Times New Roman;serif"/>
                  <w:b w:val="false"/>
                  <w:color w:val="0000FF"/>
                  <w:sz w:val="18"/>
                  <w:u w:val="single"/>
                </w:rPr>
                <w:t>Form of Kennametal Inc. Restricted Unit Award (two-year cliff vest)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65.htm">
              <w:r>
                <w:rPr>
                  <w:rStyle w:val="InternetLink"/>
                  <w:rFonts w:ascii="Times New Roman;serif" w:hAnsi="Times New Roman;serif"/>
                  <w:b w:val="false"/>
                  <w:color w:val="0000FF"/>
                  <w:sz w:val="18"/>
                  <w:u w:val="single"/>
                </w:rPr>
                <w:t>Form of Kennametal Inc. Cash-Settled Long-Term Incentive Award for China-based employees (two-year cliff vest)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66.htm">
              <w:r>
                <w:rPr>
                  <w:rStyle w:val="InternetLink"/>
                  <w:rFonts w:ascii="Times New Roman;serif" w:hAnsi="Times New Roman;serif"/>
                  <w:b w:val="false"/>
                  <w:color w:val="0000FF"/>
                  <w:sz w:val="18"/>
                  <w:u w:val="single"/>
                </w:rPr>
                <w:t>Form of Kennametal Inc. Restricted Unit Award for Non-Employee Directors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67.htm">
              <w:r>
                <w:rPr>
                  <w:rStyle w:val="InternetLink"/>
                  <w:rFonts w:ascii="Times New Roman;serif" w:hAnsi="Times New Roman;serif"/>
                  <w:b w:val="false"/>
                  <w:color w:val="0000FF"/>
                  <w:sz w:val="18"/>
                  <w:u w:val="single"/>
                </w:rPr>
                <w:t>Form of Kennametal Inc. Restricted Unit Award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68.htm">
              <w:r>
                <w:rPr>
                  <w:rStyle w:val="InternetLink"/>
                  <w:rFonts w:ascii="Times New Roman;serif" w:hAnsi="Times New Roman;serif"/>
                  <w:b w:val="false"/>
                  <w:color w:val="0000FF"/>
                  <w:sz w:val="18"/>
                  <w:u w:val="single"/>
                </w:rPr>
                <w:t>Form of Kennametal Inc. Cash-Settled Long-Term Incentive Award for China-based employees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69.htm">
              <w:r>
                <w:rPr>
                  <w:rStyle w:val="InternetLink"/>
                  <w:rFonts w:ascii="Times New Roman;serif" w:hAnsi="Times New Roman;serif"/>
                  <w:b w:val="false"/>
                  <w:color w:val="0000FF"/>
                  <w:sz w:val="18"/>
                  <w:u w:val="single"/>
                </w:rPr>
                <w:t>Form of Kennametal Inc. Performance Unit Award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70.htm">
              <w:r>
                <w:rPr>
                  <w:rStyle w:val="InternetLink"/>
                  <w:rFonts w:ascii="Times New Roman;serif" w:hAnsi="Times New Roman;serif"/>
                  <w:b w:val="false"/>
                  <w:color w:val="0000FF"/>
                  <w:sz w:val="18"/>
                  <w:u w:val="single"/>
                </w:rPr>
                <w:t>Form of Kennametal Inc. Cash-Settled Performance Unit Award for China-based employees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071.htm">
              <w:r>
                <w:rPr>
                  <w:rStyle w:val="InternetLink"/>
                  <w:rFonts w:ascii="Times New Roman;serif" w:hAnsi="Times New Roman;serif"/>
                  <w:b w:val="false"/>
                  <w:color w:val="0000FF"/>
                  <w:sz w:val="18"/>
                  <w:u w:val="single"/>
                </w:rPr>
                <w:t>Form of Kennametal Inc. Restricted Unit Award (one-year cliff vest) (granted under the 2024 Kennametal Inc. Stock and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18"/>
                  <w:u w:val="single"/>
                </w:rPr>
                <w:t>First Amendment to Seventh Amended and Restated Credit Agreement and Commitment Increase Amendment, dated as of May 28, 2026, among Kennametal Inc. and Kennametal Europe GmbH (the “Borrowers”), the increase lenders, the other lenders and the issuing lenders party thereto, Bank of America, N.A., London Branch, as Euro Swingline Lender,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10.1 of the Form 8-K filed June 2, 2026 (2016 (File No. 001-05318) is incorporated herein by reference.</w:t>
            </w:r>
          </w:p>
        </w:tc>
      </w:tr>
      <w:tr>
        <w:trPr/>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18"/>
                  <w:u w:val="single"/>
                </w:rPr>
                <w:t>Term Loan Credit Agreement, dated as of May 28, 2026, among Kennametal Inc. (the “Borrower”), the several banks and other financial institutions or entities from time to time parties thereto (the “Lenders”), PNC Bank, National Association and U.S. Bank National Association, as co-syndication agents, and Bank of America,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10.2 of the Form 8-K filed June 2, 2026 (2016 (File No. 001-05318) is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8"/>
        <w:gridCol w:w="264"/>
        <w:gridCol w:w="163"/>
        <w:gridCol w:w="109"/>
        <w:gridCol w:w="109"/>
        <w:gridCol w:w="109"/>
        <w:gridCol w:w="2831"/>
        <w:gridCol w:w="2500"/>
        <w:gridCol w:w="2483"/>
        <w:gridCol w:w="109"/>
        <w:gridCol w:w="109"/>
        <w:gridCol w:w="109"/>
        <w:gridCol w:w="323"/>
        <w:gridCol w:w="283"/>
        <w:gridCol w:w="406"/>
      </w:tblGrid>
      <w:tr>
        <w:trPr/>
        <w:tc>
          <w:tcPr>
            <w:tcW w:w="29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191.htm">
              <w:r>
                <w:rPr>
                  <w:rStyle w:val="InternetLink"/>
                  <w:rFonts w:ascii="Times New Roman;serif" w:hAnsi="Times New Roman;serif"/>
                  <w:b w:val="false"/>
                  <w:color w:val="0000FF"/>
                  <w:sz w:val="18"/>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21.htm">
              <w:r>
                <w:rPr>
                  <w:rStyle w:val="InternetLink"/>
                  <w:rFonts w:ascii="Times New Roman;serif" w:hAnsi="Times New Roman;serif"/>
                  <w:b/>
                  <w:color w:val="0000FF"/>
                  <w:sz w:val="18"/>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23.htm">
              <w:r>
                <w:rPr>
                  <w:rStyle w:val="InternetLink"/>
                  <w:rFonts w:ascii="Times New Roman;serif" w:hAnsi="Times New Roman;serif"/>
                  <w:b/>
                  <w:color w:val="0000FF"/>
                  <w:sz w:val="18"/>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Certifications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311.htm">
              <w:r>
                <w:rPr>
                  <w:rStyle w:val="InternetLink"/>
                  <w:rFonts w:ascii="Times New Roman;serif" w:hAnsi="Times New Roman;serif"/>
                  <w:b w:val="false"/>
                  <w:color w:val="0000FF"/>
                  <w:sz w:val="18"/>
                  <w:u w:val="single"/>
                </w:rPr>
                <w:t>Certification executed by Sanjay Chowbey, President and Chief Executive Officer of Kennametal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312.htm">
              <w:r>
                <w:rPr>
                  <w:rStyle w:val="InternetLink"/>
                  <w:rFonts w:ascii="Times New Roman;serif" w:hAnsi="Times New Roman;serif"/>
                  <w:b w:val="false"/>
                  <w:color w:val="0000FF"/>
                  <w:sz w:val="18"/>
                  <w:u w:val="single"/>
                </w:rPr>
                <w:t>Certification executed by Patrick S. Watson, Vice President and Chief Financial Officer of Kennametal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Section 1350 Certifications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321.htm">
              <w:r>
                <w:rPr>
                  <w:rStyle w:val="InternetLink"/>
                  <w:rFonts w:ascii="Times New Roman;serif" w:hAnsi="Times New Roman;serif"/>
                  <w:b w:val="false"/>
                  <w:color w:val="0000FF"/>
                  <w:sz w:val="18"/>
                  <w:u w:val="single"/>
                </w:rPr>
                <w:t>Certification Pursuant to 18 U.S.C. Section 1350 as Adopted Pursuant to Section 906 of the Sarbanes-Oxley Act of 2002, executed by Sanjay Chowbey, President and Chief Executive Officer of Kennametal Inc.; and Patrick S. Watson, Vice President and Chief Financial Officer of Kennametal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mt630202610kex971.htm">
              <w:r>
                <w:rPr>
                  <w:rStyle w:val="InternetLink"/>
                  <w:rFonts w:ascii="Times New Roman;serif" w:hAnsi="Times New Roman;serif"/>
                  <w:b w:val="false"/>
                  <w:color w:val="0000FF"/>
                  <w:sz w:val="18"/>
                  <w:u w:val="single"/>
                </w:rPr>
                <w:t>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88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*Denotes management contract or compensatory plan or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101.INS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101.SCH</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101.CAL</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101.DEF</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101.LAB</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101.PRE</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Filed herewith.</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rFonts w:ascii="Times New Roman;serif" w:hAnsi="Times New Roman;serif"/>
          <w:b w:val="false"/>
          <w:color w:val="000000"/>
          <w:sz w:val="20"/>
        </w:rPr>
        <w:t>The instance document does not appear in the Interactive Data File because its XBRL (Extensible Business Reporting Language) tags are embedded within the Inline XBRL document.</w:t>
      </w:r>
    </w:p>
    <w:p>
      <w:pPr>
        <w:pStyle w:val="TextBody"/>
        <w:bidi w:val="0"/>
        <w:spacing w:lineRule="auto" w:line="288" w:before="0" w:after="0"/>
        <w:ind w:left="0" w:right="0" w:hanging="720"/>
        <w:jc w:val="left"/>
        <w:rPr/>
      </w:pPr>
      <w:r>
        <w:rPr>
          <w:rFonts w:ascii="Times New Roman;serif" w:hAnsi="Times New Roman;serif"/>
          <w:b w:val="false"/>
          <w:color w:val="000000"/>
          <w:sz w:val="10"/>
        </w:rPr>
        <w:t>(2)</w:t>
      </w:r>
      <w:r>
        <w:rPr>
          <w:rFonts w:ascii="Times New Roman;serif" w:hAnsi="Times New Roman;serif"/>
          <w:b w:val="false"/>
          <w:color w:val="000000"/>
          <w:sz w:val="20"/>
        </w:rPr>
        <w:t>Attached as Exhibit 101 to this report are the following documents formatted in Inline XBRL: (i) the Consolidated Statements of Income for the years ended June 30, 2026, 2025 and 2024, (ii) the Consolidated Statements of Comprehensive Income for the years ended June 30, 2026, 2025 and 2024, (iii) the Consolidated Balance Sheets at June 30, 2026 and 2025, (iv) the Consolidated Statements of Cash Flows for the years ended June 30, 2026, 2025 and 2024 and (v) Notes to Consolidated Financial Statements for the years ended June 30, 2026, 2025 and 2024.</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4167c182ee540baa304b410154a8570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 — VALUATION AND QUALIFYING ACCOUNTS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1"/>
        <w:gridCol w:w="644"/>
        <w:gridCol w:w="646"/>
        <w:gridCol w:w="109"/>
        <w:gridCol w:w="109"/>
        <w:gridCol w:w="109"/>
        <w:gridCol w:w="196"/>
        <w:gridCol w:w="556"/>
        <w:gridCol w:w="109"/>
        <w:gridCol w:w="109"/>
        <w:gridCol w:w="109"/>
        <w:gridCol w:w="109"/>
        <w:gridCol w:w="198"/>
        <w:gridCol w:w="562"/>
        <w:gridCol w:w="111"/>
        <w:gridCol w:w="109"/>
        <w:gridCol w:w="109"/>
        <w:gridCol w:w="109"/>
        <w:gridCol w:w="109"/>
        <w:gridCol w:w="109"/>
        <w:gridCol w:w="109"/>
        <w:gridCol w:w="109"/>
        <w:gridCol w:w="244"/>
        <w:gridCol w:w="505"/>
        <w:gridCol w:w="137"/>
        <w:gridCol w:w="109"/>
        <w:gridCol w:w="109"/>
        <w:gridCol w:w="109"/>
        <w:gridCol w:w="271"/>
        <w:gridCol w:w="583"/>
        <w:gridCol w:w="152"/>
        <w:gridCol w:w="109"/>
        <w:gridCol w:w="109"/>
        <w:gridCol w:w="109"/>
        <w:gridCol w:w="109"/>
        <w:gridCol w:w="109"/>
        <w:gridCol w:w="109"/>
        <w:gridCol w:w="196"/>
        <w:gridCol w:w="622"/>
        <w:gridCol w:w="109"/>
        <w:gridCol w:w="109"/>
        <w:gridCol w:w="109"/>
        <w:gridCol w:w="109"/>
        <w:gridCol w:w="196"/>
        <w:gridCol w:w="556"/>
        <w:gridCol w:w="156"/>
      </w:tblGrid>
      <w:tr>
        <w:trPr/>
        <w:tc>
          <w:tcPr>
            <w:tcW w:w="73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br/>
              <w:t>For the year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Balance at</w:t>
              <w:br/>
              <w:t>Beginning</w:t>
              <w:br/>
              <w:t>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Charges to</w:t>
              <w:br/>
              <w:t>Costs and</w:t>
              <w:b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Deductions</w:t>
              <w:br/>
              <w:t>from</w:t>
              <w:b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Balance at</w:t>
              <w:br/>
              <w:t>End of </w:t>
              <w:br/>
              <w:t>Year</w:t>
            </w:r>
          </w:p>
        </w:tc>
      </w:tr>
      <w:tr>
        <w:trPr/>
        <w:tc>
          <w:tcPr>
            <w:tcW w:w="20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 valuation allowance</w:t>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w:t>
            </w:r>
          </w:p>
        </w:tc>
        <w:tc>
          <w:tcPr>
            <w:tcW w:w="137"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2"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w:t>
            </w:r>
          </w:p>
        </w:tc>
        <w:tc>
          <w:tcPr>
            <w:tcW w:w="81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75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5,911 </w:t>
            </w:r>
          </w:p>
        </w:tc>
        <w:tc>
          <w:tcPr>
            <w:tcW w:w="15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foreign currency translation adjustment or other adjustment against the gross asset.</w:t>
      </w:r>
    </w:p>
    <w:p>
      <w:pPr>
        <w:pStyle w:val="TextBody"/>
        <w:bidi w:val="0"/>
        <w:spacing w:lineRule="auto" w:line="288" w:before="60" w:after="283"/>
        <w:jc w:val="left"/>
        <w:rPr/>
      </w:pPr>
      <w:r>
        <w:rPr>
          <w:rFonts w:ascii="Times New Roman;serif" w:hAnsi="Times New Roman;serif"/>
          <w:b w:val="false"/>
          <w:color w:val="000000"/>
          <w:sz w:val="10"/>
        </w:rPr>
        <w:t>(2)</w:t>
      </w:r>
      <w:r>
        <w:rPr>
          <w:rFonts w:ascii="Times New Roman;serif" w:hAnsi="Times New Roman;serif"/>
          <w:b w:val="false"/>
          <w:color w:val="000000"/>
          <w:sz w:val="16"/>
        </w:rPr>
        <w:t>Represents uncollected accounts charged against the allowance.</w:t>
      </w:r>
    </w:p>
    <w:p>
      <w:pPr>
        <w:pStyle w:val="TextBody"/>
        <w:bidi w:val="0"/>
        <w:spacing w:lineRule="auto" w:line="288" w:before="60" w:after="283"/>
        <w:jc w:val="left"/>
        <w:rPr/>
      </w:pPr>
      <w:r>
        <w:rPr>
          <w:rFonts w:ascii="Times New Roman;serif" w:hAnsi="Times New Roman;serif"/>
          <w:b w:val="false"/>
          <w:color w:val="000000"/>
          <w:sz w:val="10"/>
        </w:rPr>
        <w:t>(3)</w:t>
      </w:r>
      <w:r>
        <w:rPr>
          <w:rFonts w:ascii="Times New Roman;serif" w:hAnsi="Times New Roman;serif"/>
          <w:b w:val="false"/>
          <w:color w:val="000000"/>
          <w:sz w:val="16"/>
        </w:rPr>
        <w:t>Represents primarily changes in tax rates and forfeited net operating loss deduction.</w:t>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 FORM 10-K SUMMARY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4.11</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DESCRIPTION OF KENNAMETAL INC.’S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summary of the terms of Kennametal Inc.’s (the “Company”) common stock is not complete and is subject to and qualified in its entirety by reference to the relevant provisions of the laws of the Commonwealth of Pennsylvania, the Company’s Amended and Restated Articles of Incorporation (the “Articles”), and its Amended and Restated Bylaws (the “Bylaws”). Copies of the Articles and Bylaws have been filed with the Securities and Exchange Commission.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Articles provide that it may issue up to 120,000,000 shares of capital stock, par value $1.25 per share (the “common stock”) and 5,000,000 shares of Class A Preferred Stock without par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Voting and Other Rights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Each share of the Company’s common stock is entitled to one vote on all matters requiring a vote of shareholders and, subject to the rights of the holders of any outstanding shares of preferred stock, each shareholder is entitled to receive any dividends, in cash, securities or property, as the Company’s board of directors may declare. Pennsylvania law prohibits the payment of dividends or the repurchase of the Company’s shares if the Company is insolvent or if the Company would become insolvent after the dividend or repurchase. Holders of common stock do not have any preemptive or similar rights.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of the Company’s liquidation, dissolution or winding up, either voluntarily or involuntarily, subject to the rights of the holders of any outstanding shares of preferred stock, holders of common stock are entitled to share pro-rata in all of the Company’s remaining assets available for distribution.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Anti-Takeover Provisions in Kennametal Inc.’s Charter and Bylaws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provisions of the Articles and Bylaws could have an anti-takeover effect. These provisions are intended to enhance the likelihood of continuity and stability in the composition of the board of directors and in the strategies it formulates. They may also discourage an unsolicited takeover of the Company if the board of directors determines that the takeover is not in the best interests of the Company and its shareholders. These provisions could have the effect of discouraging certain attempts to acquire the Company or remove incumbent management even if some or a majority of shareholders deemed such an attempt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provisions in the Articles and Bylaws include: (i) a procedure which requires shareholders to nominate directors in advance of a meeting to elect such directors; and (ii) the authority to issue additional shares of common stock or preferred stock without shareholder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Articles also include a provision requiring the affirmative vote of the holders of 75% of the Company’s outstanding stock to approve certain mergers or other business combinations or transactions with five percent shareholders; a provision requiring the affirmative vote of the holders of 75% of the Company’s outstanding stock to remove the entire board of directors, a class of the board of directors, any individual member of the board of directors without cause, or to increase the size of the board of directors to more than twelve members or decrease the size of the board of directors to fewer than eight members; a provision requiring, in the case of repurchases at a premium over market by the Company from any 4% Shareholder (as defined in the Articles), the affirmative vote of the holders of voting power of an amount of shares equal to the voting power of the 4% Shareholder plus a majority of the voting power of the other shares not held by the 4% Shareholder; and a provision requiring the affirmative vote of a majority of the Company’s outstanding stock held by disinterested shareholders to approve certain business combinations involving a shareholder who beneficially owns more than 10% of the voting power of the Company’s then outstanding voting stock, unless certain conditions are satisfied or the transaction is approved by a majority of disinterested directors.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Articles and the laws of the Commonwealth of Pennsylvania, the board of directors is permitted to consider the effects of a change in control on the Company’s non-shareholder constituencies, such as the Company’s employees, suppliers, and other constituents and the communities in which the Company operates. Pursuant to this provision, the board of directors may be guided by factors in addition to price and other financial considerations.</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Bylaws provide that any shareholder who desires to present a nomination of person(s) for election to the board of directors or a proposal of other business at a shareholders’ meeting (a “Proponent”) must first provide timely written notice to the Secretary. The Bylaws set forth the deadlines for submitting such advance notice. As described in the Bylaws, the advance notice must set forth in reasonable detail (i) as to each person the shareholder proposes to nominate for election to the board of directors, information concerning the proposed nominee that would be required to be disclosed in a proxy statement or other filings required to be made in connection with the solicitation of proxies for the election of directors in an election contest, or otherwise required, in each case pursuant to Section 14 of the Exchange Act and the rules and regulations promulgated thereunder, including such nominee’s consent to serve as a director if elected and other specific information called for by the Bylaws, or (ii) as to any other business that the Proponent proposes to bring before the meeting, a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the Proponent and the beneficial owner, if any, on whose behalf the proposal is made. The advance notice must also include a representation from the Proponent that such person is a shareholder of record and intends to appear in person or by proxy at the meeting to present the nomination or other proposal specified in the notice, a description of the Proponent’s beneficial ownership and other financial interests in the Company, a description of all arrangements or understandings between the Proponent and any other person or persons (naming such persons) pursuant to which the nomination or other proposal is to be made by the Proponent, and all such information regarding the Proponent’s proposal and/or nominee(s) which would have been required to be included in a proxy statement filed pursuant to the proxy rules of the Securities and Exchange Commission had the nomination or other proposal been made by the board of directors.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PBCL Anti-Takeover Provisions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Pennsylvania Business Corporation Law (the “PBCL”) contains a number of statutory “anti-takeover” provisions, including Subchapters E, F, G and H of Chapter 25 and Sections 2521, 2524 and 2538 of the PBCL, which apply automatically to a Pennsylvania registered corporation (usually a public company) unless the corporation elects to opt-out of those provisions. The Company is a Pennsylvania registered corporation, and as a result it is subject to the anti-takeover provisions described below, however, the Company has elected to opt-out of certain provisions as described below. Descriptions of the anti-takeover provisions are qualified in their entirety by reference to the PBCL.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Subchapter E (relating to control transactions) generally provides that if any person or group acquires 20% or more of the Company’s voting power, the remaining holders of voting shares may demand from such person or group the fair value of their voting shares, including a proportionate amount of any control premium.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Subchapter F (relating to business combinations) generally delays for five years and imposes conditions upon “business combinations” between an “interested shareholder” and the Company. The term “business combination” is defined broadly to include various transactions between a corporation and an interested shareholder including mergers, sales or leases of specified amounts of assets, liquidations, reclassifications and issuances of specified amounts of additional shares of stock of the corporation. An “interested shareholder” is defined generally as the beneficial owner of at least 20% of a corporation’s voting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2521 of the PBCL provides that shareholders are not entitled to call special meetings of the shareholders and the Company’s Bylaws do not give shareholders any right to call special meetings.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2524 provides that shareholders cannot act by partial written consent unless permitted in the articles of incorporation.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2538 of the PBCL generally establishes certain shareholder approval requirements with respect to specified transactions with “interested shareholders.”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to opt out of Subchapters G and H of Chapter 25 of the PBCL. Subchapter G would have required a shareholder vote to accord voting rights to control shares acquired by a 20% shareholder in a control-share acquisition. Subchapter H would have required a person or group to disgorge to the Company any profits received from a sale of the Company’s equity securities within 18 months after the person or group acquired, offered to acquire or publicly disclosed an intention to acquire 20% of the Company’s voting power or publicly disclosed an intention to acquire control of the Company.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Transfer Agent and Registrar</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Computershare is the Transfer Agent and Registrar for the Common Stock.</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 OF NAMED EXECUTIVE OFFICERS WHO HAVE ENTERED INTO THE FORM OF INDEMNIFICATION AGREEMENT AS SET FORTH IN EXHIBIT 10.4</w:t>
      </w:r>
    </w:p>
    <w:p>
      <w:pPr>
        <w:pStyle w:val="TextBody"/>
        <w:bidi w:val="0"/>
        <w:spacing w:lineRule="auto" w:line="288" w:before="0" w:after="0"/>
        <w:jc w:val="left"/>
        <w:rPr/>
      </w:pPr>
      <w:r>
        <w:rPr>
          <w:rFonts w:ascii="Times New Roman;serif" w:hAnsi="Times New Roman;serif"/>
          <w:b w:val="false"/>
          <w:color w:val="000000"/>
          <w:sz w:val="20"/>
          <w:u w:val="single"/>
        </w:rPr>
        <w:t>NAME</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Judith L. Bacchus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Bersaglini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Sanjay Chowbey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Amanda Cole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Faisal Hamadi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Michelle R. Keating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Carlonda Reilly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Patrick S. Watson</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10.50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 OF EXECUTIVE OFFICERS WHO HAVE ENTERED INTO THE 2018 FORM OF INDEMNIFICATION AGREEMENT AS SET FORTH IN EXHIBIT 10.49</w:t>
      </w:r>
    </w:p>
    <w:p>
      <w:pPr>
        <w:pStyle w:val="TextBody"/>
        <w:bidi w:val="0"/>
        <w:spacing w:lineRule="auto" w:line="288" w:before="0" w:after="0"/>
        <w:jc w:val="left"/>
        <w:rPr/>
      </w:pPr>
      <w:r>
        <w:rPr>
          <w:rFonts w:ascii="Times New Roman;serif" w:hAnsi="Times New Roman;serif"/>
          <w:b w:val="false"/>
          <w:color w:val="000000"/>
          <w:sz w:val="20"/>
          <w:u w:val="single"/>
        </w:rPr>
        <w:t>NAME</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Judith L. Bacchus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David Bersaglini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Sanjay Chowbey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Amanda Cole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Faisal Hamadi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Michelle R. Keating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Carlonda R. Reilly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Patrick S. Watson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10.63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RESTRICTED UNIT AWARD</w:t>
      </w:r>
    </w:p>
    <w:p>
      <w:pPr>
        <w:pStyle w:val="TextBody"/>
        <w:bidi w:val="0"/>
        <w:spacing w:before="0" w:after="0"/>
        <w:jc w:val="center"/>
        <w:rPr/>
      </w:pPr>
      <w:r>
        <w:rPr/>
      </w:r>
    </w:p>
    <w:p>
      <w:pPr>
        <w:pStyle w:val="TextBody"/>
        <w:bidi w:val="0"/>
        <w:spacing w:lineRule="auto" w:line="288" w:before="0" w:after="240"/>
        <w:jc w:val="center"/>
        <w:rPr/>
      </w:pPr>
      <w:r>
        <w:rPr>
          <w:rFonts w:ascii="Arial;sans-serif" w:hAnsi="Arial;sans-serif"/>
          <w:b/>
          <w:color w:val="000000"/>
          <w:sz w:val="20"/>
        </w:rPr>
        <w:t xml:space="preserve">Grant Date: </w:t>
      </w:r>
      <w:r>
        <w:rPr>
          <w:rFonts w:ascii="Arial;sans-serif" w:hAnsi="Arial;sans-serif"/>
          <w:b w:val="false"/>
          <w:color w:val="000000"/>
          <w:sz w:val="20"/>
        </w:rPr>
        <w:t>____________________</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Kennametal Inc. (the “Company”) hereby grants to «name» (the “Awardee”), as of the Grant Date listed above, this Restricted Unit Award (the “Award”) for «number of stock units» Stock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lineRule="auto" w:line="240" w:before="120" w:after="120"/>
        <w:jc w:val="both"/>
        <w:rPr/>
      </w:pPr>
      <w:r>
        <w:rPr>
          <w:rFonts w:ascii="Arial;sans-serif" w:hAnsi="Arial;sans-serif"/>
          <w:b w:val="false"/>
          <w:color w:val="000000"/>
          <w:sz w:val="20"/>
        </w:rPr>
        <w:t>1.</w:t>
      </w:r>
      <w:r>
        <w:rPr>
          <w:rFonts w:ascii="Arial;sans-serif" w:hAnsi="Arial;sans-serif"/>
          <w:b w:val="false"/>
          <w:color w:val="000000"/>
          <w:sz w:val="20"/>
        </w:rPr>
        <w:t>Each Stock Unit represents the right to receive one Share of the Company’s Capital Stock, par value $1.25 per share, subject to the Forfeiture Restrictions (defined below). Notwithstanding, Stock Units as initially awarded have no independent economic value, but rather are mere units of measurement used for the purpose of calculating the number of Shares, if any, to be delivered under the Award.</w:t>
      </w:r>
    </w:p>
    <w:p>
      <w:pPr>
        <w:pStyle w:val="TextBody"/>
        <w:bidi w:val="0"/>
        <w:spacing w:lineRule="auto" w:line="240" w:before="120" w:after="120"/>
        <w:jc w:val="both"/>
        <w:rPr/>
      </w:pPr>
      <w:r>
        <w:rPr>
          <w:rFonts w:ascii="Arial;sans-serif" w:hAnsi="Arial;sans-serif"/>
          <w:b w:val="false"/>
          <w:color w:val="000000"/>
          <w:sz w:val="20"/>
        </w:rPr>
        <w:t>2.</w:t>
      </w:r>
      <w:r>
        <w:rPr>
          <w:rFonts w:ascii="Arial;sans-serif" w:hAnsi="Arial;sans-serif"/>
          <w:b w:val="false"/>
          <w:color w:val="000000"/>
          <w:sz w:val="20"/>
        </w:rPr>
        <w:t xml:space="preserve">The prohibition against transfer and the obligation to forfeit and surrender the Stock Units to the Company are herein referred to as “Forfeiture Restrictions.” The Stock Units may not be sold, assigned, pledged, exchanged, hypothecated, gifted or otherwise transferred, encumbered or disposed of, except as described in the Plan, to the extent then subject to the Forfeiture Restrictions. The Forfeiture Restrictions will be binding upon, and enforceable against, any permitted transferee of the Stock Units. </w:t>
      </w:r>
    </w:p>
    <w:p>
      <w:pPr>
        <w:pStyle w:val="TextBody"/>
        <w:bidi w:val="0"/>
        <w:spacing w:lineRule="auto" w:line="240" w:before="120" w:after="120"/>
        <w:jc w:val="both"/>
        <w:rPr/>
      </w:pPr>
      <w:r>
        <w:rPr>
          <w:rFonts w:ascii="Arial;sans-serif" w:hAnsi="Arial;sans-serif"/>
          <w:b w:val="false"/>
          <w:color w:val="000000"/>
          <w:sz w:val="20"/>
        </w:rPr>
        <w:t>3.</w:t>
      </w:r>
      <w:r>
        <w:rPr>
          <w:rFonts w:ascii="Arial;sans-serif" w:hAnsi="Arial;sans-serif"/>
          <w:b w:val="false"/>
          <w:color w:val="000000"/>
          <w:sz w:val="20"/>
        </w:rPr>
        <w:t xml:space="preserve">Provided that the Awardee does not Separate from Service and maintains Continuous Status as an Employee from the Grant Date through the lapse date, the Forfeiture Restrictions will lapse as to 100% of the Stock Units on the third anniversary of the Grant Date. </w:t>
      </w:r>
    </w:p>
    <w:p>
      <w:pPr>
        <w:pStyle w:val="TextBody"/>
        <w:bidi w:val="0"/>
        <w:spacing w:lineRule="auto" w:line="240" w:before="0" w:after="120"/>
        <w:jc w:val="both"/>
        <w:rPr/>
      </w:pPr>
      <w:r>
        <w:rPr>
          <w:rFonts w:ascii="Arial;sans-serif" w:hAnsi="Arial;sans-serif"/>
          <w:b w:val="false"/>
          <w:color w:val="000000"/>
          <w:sz w:val="20"/>
        </w:rPr>
        <w:t>4.</w:t>
      </w:r>
      <w:r>
        <w:rPr>
          <w:rFonts w:ascii="Arial;sans-serif" w:hAnsi="Arial;sans-serif"/>
          <w:b w:val="false"/>
          <w:color w:val="000000"/>
          <w:sz w:val="20"/>
        </w:rPr>
        <w:t xml:space="preserve">The Stock Units, to the extent then subject to the Forfeiture Restrictions, will be forfeited to the Company upon Separation from Service for any reason </w:t>
      </w:r>
      <w:r>
        <w:rPr>
          <w:rFonts w:ascii="Arial;sans-serif" w:hAnsi="Arial;sans-serif"/>
          <w:b w:val="false"/>
          <w:i/>
          <w:color w:val="000000"/>
          <w:sz w:val="20"/>
        </w:rPr>
        <w:t xml:space="preserve">other than </w:t>
      </w:r>
      <w:r>
        <w:rPr>
          <w:rFonts w:ascii="Arial;sans-serif" w:hAnsi="Arial;sans-serif"/>
          <w:b w:val="false"/>
          <w:color w:val="000000"/>
          <w:sz w:val="20"/>
        </w:rPr>
        <w:t xml:space="preserve">death, Disability, Retirement (including Early Retirement), or involuntary termination by the Company without cause or voluntary termination by the Awardee for Good Reason (a) within the six-month period immediately preceding a Change in Control in contemplation of such Change in Control (and the Change in Control actually occurs) or (b) during the two-year period following a Change in Control (a " Change in Control Separation"). In the event that the Awardee Separates from Service as a result of death, Disability, Retirement (including Early Retirement) or a Change in Control Separation, the vesting and/or forfeiture of the Stock Units shall be determined as provided in the Plan. </w:t>
      </w:r>
    </w:p>
    <w:p>
      <w:pPr>
        <w:pStyle w:val="TextBody"/>
        <w:bidi w:val="0"/>
        <w:spacing w:lineRule="auto" w:line="240" w:before="120" w:after="120"/>
        <w:jc w:val="both"/>
        <w:rPr/>
      </w:pPr>
      <w:r>
        <w:rPr>
          <w:rFonts w:ascii="Arial;sans-serif" w:hAnsi="Arial;sans-serif"/>
          <w:b w:val="false"/>
          <w:color w:val="000000"/>
          <w:sz w:val="20"/>
        </w:rPr>
        <w:t>5.</w:t>
      </w:r>
      <w:r>
        <w:rPr>
          <w:rFonts w:ascii="Arial;sans-serif" w:hAnsi="Arial;sans-serif"/>
          <w:b w:val="false"/>
          <w:color w:val="000000"/>
          <w:sz w:val="20"/>
        </w:rPr>
        <w:t xml:space="preserve">Except as otherwise provided herein, the shares of Company Capital Stock (the “Shares”) underlying Stock Units which are no longer subject to Forfeiture Restrictions shall be issued to the Awardee on the lapse date (or as soon as reasonably practicable thereafter but in no event later than the last day of the “applicable 2½ month period” specified in Treas. Reg. §1.409A-1(b)(4)), subject to the Awardee’s satisfaction of all applicable income and employment withholding taxes, unless deferred pursuant to the terms of a Company deferred compensation plan. Notwithstanding the foregoing or any provisions of this Award or the Plan to the contrary, for a U.S. participant who is a “specified employee” under Section 409A of the Internal Revenue Code of 1986, as amended (the “Code”) upon Separation from Service due to Retirement (including Early Retirement), Disability or a Change in Control Separation, the delivery of any Shares underlying this Award will be delayed and delivered on the first day following the six (6) month anniversary of the Awardee’s Separation from Service (or upon earlier death) if and to the extent such payments would constitute or be considered as deferred compensation under Code Section 409A, subject to the Awardee’s satisfaction of all applicable income and employment withholding taxes.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Arial;sans-serif" w:hAnsi="Arial;sans-serif"/>
          <w:b w:val="false"/>
          <w:color w:val="000000"/>
          <w:sz w:val="20"/>
        </w:rPr>
        <w:t>6.</w:t>
      </w:r>
      <w:r>
        <w:rPr>
          <w:rFonts w:ascii="Arial;sans-serif" w:hAnsi="Arial;sans-serif"/>
          <w:b w:val="false"/>
          <w:color w:val="000000"/>
          <w:sz w:val="20"/>
        </w:rPr>
        <w:t>The Stock Units will be entitled to receive Dividend Equivalents, which will be subject to all conditions and restrictions applicable to the underlying Stock Units to which they relate, and which may not be paid until and unless the underlying Stock Units have vested. Dividend Equivalents will accrue prior to the issuance of Shares with respect to the Stock Units or their earlier forfeiture. Dividend Equivalents will be earned only for Stock Units that are earned or deemed earned under this Award for the applicable period. With respect to Stock Units that are not earned (because the applicable Forfeiture Restrictions do not lapse or otherwise), Dividend Equivalents that were accrued for those Stock Units will be cancelled and forfeited along with the Stock Units and underlying Shares, without payment therefor by the Company or any Affiliate. Dividend Equivalents will be paid in cash at such time as the underlying Stock Units to which they relate are paid.</w:t>
      </w:r>
    </w:p>
    <w:p>
      <w:pPr>
        <w:pStyle w:val="TextBody"/>
        <w:bidi w:val="0"/>
        <w:spacing w:lineRule="auto" w:line="240" w:before="120" w:after="120"/>
        <w:jc w:val="both"/>
        <w:rPr/>
      </w:pPr>
      <w:r>
        <w:rPr>
          <w:rFonts w:ascii="Arial;sans-serif" w:hAnsi="Arial;sans-serif"/>
          <w:b w:val="false"/>
          <w:color w:val="000000"/>
          <w:sz w:val="20"/>
        </w:rPr>
        <w:t>7.</w:t>
      </w:r>
      <w:r>
        <w:rPr>
          <w:rFonts w:ascii="Arial;sans-serif" w:hAnsi="Arial;sans-serif"/>
          <w:b w:val="false"/>
          <w:color w:val="000000"/>
          <w:sz w:val="20"/>
        </w:rPr>
        <w:t>The Shares underlying Stock Units shall not be sold or otherwise disposed of in any manner that would constitute a violation of any applicable federal or state securities laws. The Company may refuse to register a transfer of the Shares on the stock transfer records of the Company if the transfer constitutes a violation of any applicable securities law and the Company may give related instructions to its transfer agent, if any, to stop registration of the transfer of the Shares.</w:t>
      </w:r>
    </w:p>
    <w:p>
      <w:pPr>
        <w:pStyle w:val="TextBody"/>
        <w:bidi w:val="0"/>
        <w:spacing w:lineRule="auto" w:line="240" w:before="120" w:after="120"/>
        <w:jc w:val="both"/>
        <w:rPr/>
      </w:pPr>
      <w:r>
        <w:rPr>
          <w:rFonts w:ascii="Arial;sans-serif" w:hAnsi="Arial;sans-serif"/>
          <w:b w:val="false"/>
          <w:color w:val="000000"/>
          <w:sz w:val="20"/>
        </w:rPr>
        <w:t>8.</w:t>
      </w:r>
      <w:r>
        <w:rPr>
          <w:rFonts w:ascii="Arial;sans-serif" w:hAnsi="Arial;sans-serif"/>
          <w:b w:val="false"/>
          <w:color w:val="000000"/>
          <w:sz w:val="20"/>
        </w:rPr>
        <w:t xml:space="preserve">This Restricted Unit Award is intended to comply with Section 409A of the Internal Revenue Code (which deals with nonqualified deferred compensation) or an exception thereto and the regulations promulgated thereunder and will be construed accordingly. To the extent a payment is subject to Section 409A and not excepted therefrom, such payment shall be treated as made on the specified date of payment if such payment is made at such date or a later date in the same calendar year or, if later, by the 15th day of the third calendar month following the specified date of payment, as provided and in accordance with Treas. Reg. § 1.409A-3(d). An Awardee shall have no right to designate the date of any payment under this Award. The Company reserves the right to administer, amend or modify the Award or to take any other action necessary or desirable to enable the Award to be interpreted and construed accordingly. Notwithstanding the foregoing, the Awardee acknowledges and agrees that Section 409A may impose upon the Awardee certain taxes or interest charges for which the Awardee is and shall remain solely responsible.. </w:t>
      </w:r>
    </w:p>
    <w:p>
      <w:pPr>
        <w:pStyle w:val="TextBody"/>
        <w:bidi w:val="0"/>
        <w:spacing w:lineRule="auto" w:line="240" w:before="120" w:after="120"/>
        <w:jc w:val="both"/>
        <w:rPr/>
      </w:pPr>
      <w:r>
        <w:rPr>
          <w:rFonts w:ascii="Arial;sans-serif" w:hAnsi="Arial;sans-serif"/>
          <w:b w:val="false"/>
          <w:color w:val="000000"/>
          <w:sz w:val="20"/>
        </w:rPr>
        <w:t>9.</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grant date noted herein (the “Forfeiture Date”), then this Award shall become null and void and all Stock Units subject to this Award shall be forfeited by the Awardee as of the Forfeiture Date. For acceptance to be valid, the Awardee must accept this Award in the manner specified by the Company. Any Shares underlying the Stock Units covered by this Award that are forfeited by the Awardee shall be returned to the Plan and resume the status of shares available for grant.</w:t>
      </w:r>
    </w:p>
    <w:p>
      <w:pPr>
        <w:pStyle w:val="TextBody"/>
        <w:bidi w:val="0"/>
        <w:spacing w:lineRule="auto" w:line="240" w:before="120" w:after="120"/>
        <w:jc w:val="both"/>
        <w:rPr/>
      </w:pPr>
      <w:r>
        <w:rPr>
          <w:rFonts w:ascii="Arial;sans-serif" w:hAnsi="Arial;sans-serif"/>
          <w:b w:val="false"/>
          <w:color w:val="000000"/>
          <w:sz w:val="20"/>
        </w:rPr>
        <w:t>10.</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10.64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RESTRICTED UNIT AWARD</w:t>
      </w:r>
    </w:p>
    <w:p>
      <w:pPr>
        <w:pStyle w:val="TextBody"/>
        <w:bidi w:val="0"/>
        <w:spacing w:before="0" w:after="0"/>
        <w:jc w:val="center"/>
        <w:rPr/>
      </w:pPr>
      <w:r>
        <w:rPr/>
      </w:r>
    </w:p>
    <w:p>
      <w:pPr>
        <w:pStyle w:val="TextBody"/>
        <w:bidi w:val="0"/>
        <w:spacing w:lineRule="auto" w:line="288" w:before="0" w:after="240"/>
        <w:jc w:val="center"/>
        <w:rPr/>
      </w:pPr>
      <w:r>
        <w:rPr>
          <w:rFonts w:ascii="Arial;sans-serif" w:hAnsi="Arial;sans-serif"/>
          <w:b/>
          <w:color w:val="000000"/>
          <w:sz w:val="20"/>
        </w:rPr>
        <w:t xml:space="preserve">Grant Date: </w:t>
      </w:r>
      <w:r>
        <w:rPr>
          <w:rFonts w:ascii="Arial;sans-serif" w:hAnsi="Arial;sans-serif"/>
          <w:b w:val="false"/>
          <w:color w:val="000000"/>
          <w:sz w:val="20"/>
        </w:rPr>
        <w:t>____________________</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Kennametal Inc. (the “Company”) hereby grants to «name» (the “Awardee”), as of the Grant Date listed above, this Restricted Unit Award (the “Award”) for «number of stock units» Stock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lineRule="auto" w:line="240" w:before="120" w:after="120"/>
        <w:jc w:val="both"/>
        <w:rPr/>
      </w:pPr>
      <w:r>
        <w:rPr>
          <w:rFonts w:ascii="Arial;sans-serif" w:hAnsi="Arial;sans-serif"/>
          <w:b w:val="false"/>
          <w:color w:val="000000"/>
          <w:sz w:val="20"/>
        </w:rPr>
        <w:t>1.</w:t>
      </w:r>
      <w:r>
        <w:rPr>
          <w:rFonts w:ascii="Arial;sans-serif" w:hAnsi="Arial;sans-serif"/>
          <w:b w:val="false"/>
          <w:color w:val="000000"/>
          <w:sz w:val="20"/>
        </w:rPr>
        <w:t>Each Stock Unit represents the right to receive one Share of the Company’s Capital Stock, par value $1.25 per share, subject to the Forfeiture Restrictions (defined below). Notwithstanding, Stock Units as initially awarded have no independent economic value, but rather are mere units of measurement used for the purpose of calculating the number of Shares, if any, to be delivered under the Award.</w:t>
      </w:r>
    </w:p>
    <w:p>
      <w:pPr>
        <w:pStyle w:val="TextBody"/>
        <w:bidi w:val="0"/>
        <w:spacing w:lineRule="auto" w:line="240" w:before="120" w:after="120"/>
        <w:jc w:val="both"/>
        <w:rPr/>
      </w:pPr>
      <w:r>
        <w:rPr>
          <w:rFonts w:ascii="Arial;sans-serif" w:hAnsi="Arial;sans-serif"/>
          <w:b w:val="false"/>
          <w:color w:val="000000"/>
          <w:sz w:val="20"/>
        </w:rPr>
        <w:t>2.</w:t>
      </w:r>
      <w:r>
        <w:rPr>
          <w:rFonts w:ascii="Arial;sans-serif" w:hAnsi="Arial;sans-serif"/>
          <w:b w:val="false"/>
          <w:color w:val="000000"/>
          <w:sz w:val="20"/>
        </w:rPr>
        <w:t xml:space="preserve">The prohibition against transfer and the obligation to forfeit and surrender the Stock Units to the Company are herein referred to as “Forfeiture Restrictions.” The Stock Units may not be sold, assigned, pledged, exchanged, hypothecated, gifted or otherwise transferred, encumbered or disposed of, except as described in the Plan, to the extent then subject to the Forfeiture Restrictions. The Forfeiture Restrictions will be binding upon, and enforceable against, any permitted transferee of the Stock Units. </w:t>
      </w:r>
    </w:p>
    <w:p>
      <w:pPr>
        <w:pStyle w:val="TextBody"/>
        <w:bidi w:val="0"/>
        <w:spacing w:lineRule="auto" w:line="240" w:before="120" w:after="120"/>
        <w:jc w:val="both"/>
        <w:rPr/>
      </w:pPr>
      <w:r>
        <w:rPr>
          <w:rFonts w:ascii="Arial;sans-serif" w:hAnsi="Arial;sans-serif"/>
          <w:b w:val="false"/>
          <w:color w:val="000000"/>
          <w:sz w:val="20"/>
        </w:rPr>
        <w:t>3.</w:t>
      </w:r>
      <w:r>
        <w:rPr>
          <w:rFonts w:ascii="Arial;sans-serif" w:hAnsi="Arial;sans-serif"/>
          <w:b w:val="false"/>
          <w:color w:val="000000"/>
          <w:sz w:val="20"/>
        </w:rPr>
        <w:t xml:space="preserve">Provided that the Awardee does not Separate from Service and maintains Continuous Status as an Employee from the Grant Date through the lapse date, the Forfeiture Restrictions will lapse as to 100% of the Stock Units on the second anniversary of the Grant Date. </w:t>
      </w:r>
    </w:p>
    <w:p>
      <w:pPr>
        <w:pStyle w:val="TextBody"/>
        <w:bidi w:val="0"/>
        <w:spacing w:lineRule="auto" w:line="240" w:before="0" w:after="120"/>
        <w:jc w:val="both"/>
        <w:rPr/>
      </w:pPr>
      <w:r>
        <w:rPr>
          <w:rFonts w:ascii="Arial;sans-serif" w:hAnsi="Arial;sans-serif"/>
          <w:b w:val="false"/>
          <w:color w:val="000000"/>
          <w:sz w:val="20"/>
        </w:rPr>
        <w:t>4.</w:t>
      </w:r>
      <w:r>
        <w:rPr>
          <w:rFonts w:ascii="Arial;sans-serif" w:hAnsi="Arial;sans-serif"/>
          <w:b w:val="false"/>
          <w:color w:val="000000"/>
          <w:sz w:val="20"/>
        </w:rPr>
        <w:t xml:space="preserve">The Stock Units, to the extent then subject to the Forfeiture Restrictions, will be forfeited to the Company upon Separation from Service for any reason </w:t>
      </w:r>
      <w:r>
        <w:rPr>
          <w:rFonts w:ascii="Arial;sans-serif" w:hAnsi="Arial;sans-serif"/>
          <w:b w:val="false"/>
          <w:i/>
          <w:color w:val="000000"/>
          <w:sz w:val="20"/>
        </w:rPr>
        <w:t xml:space="preserve">other than </w:t>
      </w:r>
      <w:r>
        <w:rPr>
          <w:rFonts w:ascii="Arial;sans-serif" w:hAnsi="Arial;sans-serif"/>
          <w:b w:val="false"/>
          <w:color w:val="000000"/>
          <w:sz w:val="20"/>
        </w:rPr>
        <w:t xml:space="preserve">death, Disability, Retirement (including Early Retirement), or involuntary termination by the Company without cause or voluntary termination by the Awardee for Good Reason (a) within the six-month period immediately preceding a Change in Control in contemplation of such Change in Control (and the Change in Control actually occurs) or (b) during the two-year period following a Change in Control (a " Change in Control Separation"). In the event that the Awardee Separates from Service as a result of death, Disability, Retirement (including Early Retirement) or a Change in Control Separation, the vesting and/or forfeiture of the Stock Units shall be determined as provided in the Plan. </w:t>
      </w:r>
    </w:p>
    <w:p>
      <w:pPr>
        <w:pStyle w:val="TextBody"/>
        <w:bidi w:val="0"/>
        <w:spacing w:lineRule="auto" w:line="240" w:before="120" w:after="120"/>
        <w:jc w:val="both"/>
        <w:rPr/>
      </w:pPr>
      <w:r>
        <w:rPr>
          <w:rFonts w:ascii="Arial;sans-serif" w:hAnsi="Arial;sans-serif"/>
          <w:b w:val="false"/>
          <w:color w:val="000000"/>
          <w:sz w:val="20"/>
        </w:rPr>
        <w:t>5.</w:t>
      </w:r>
      <w:r>
        <w:rPr>
          <w:rFonts w:ascii="Arial;sans-serif" w:hAnsi="Arial;sans-serif"/>
          <w:b w:val="false"/>
          <w:color w:val="000000"/>
          <w:sz w:val="20"/>
        </w:rPr>
        <w:t xml:space="preserve">Except as otherwise provided herein, the shares of Company Capital Stock (the “Shares”) underlying Stock Units which are no longer subject to Forfeiture Restrictions shall be issued to the Awardee on the lapse date (or as soon as reasonably practicable thereafter but in no event later than the last day of the “applicable 2½ month period” specified in Treas. Reg. §1.409A-1(b)(4)), subject to the Awardee’s satisfaction of all applicable income and employment withholding taxes, unless deferred pursuant to the terms of a Company deferred compensation plan. Notwithstanding the foregoing or any provisions of this Award or the Plan to the contrary, for a U.S. participant who is a “specified employee” under Section 409A of the Internal Revenue Code of 1986, as amended (the “Code”) upon Separation from Service due to Retirement (including Early Retirement), Disability or a Change in Control Separation, the delivery of any Shares underlying this Award will be delayed and delivered on the first day following the six (6) month anniversary of the Awardee’s Separation from Service (or upon earlier death) if and to the extent such payments would constitute or be considered as deferred compensation under Code Section 409A, subject to the Awardee’s satisfaction of all applicable income and employment withholding taxes.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Arial;sans-serif" w:hAnsi="Arial;sans-serif"/>
          <w:b w:val="false"/>
          <w:color w:val="000000"/>
          <w:sz w:val="20"/>
        </w:rPr>
        <w:t>6.</w:t>
      </w:r>
      <w:r>
        <w:rPr>
          <w:rFonts w:ascii="Arial;sans-serif" w:hAnsi="Arial;sans-serif"/>
          <w:b w:val="false"/>
          <w:color w:val="000000"/>
          <w:sz w:val="20"/>
        </w:rPr>
        <w:t>The Stock Units will be entitled to receive Dividend Equivalents, which will be subject to all conditions and restrictions applicable to the underlying Stock Units to which they relate, and which may not be paid until and unless the underlying Stock Units have vested. Dividend Equivalents will accrue prior to the issuance of Shares with respect to the Stock Units or their earlier forfeiture. Dividend Equivalents will be earned only for Stock Units that are earned or deemed earned under this Award for the applicable period. With respect to Stock Units that are not earned (because the applicable Forfeiture Restrictions do not lapse or otherwise), Dividend Equivalents that were accrued for those Stock Units will be cancelled and forfeited along with the Stock Units and underlying Shares, without payment therefor by the Company or any Affiliate. Dividend Equivalents will be paid in cash at such time as the underlying Stock Units to which they relate are paid.</w:t>
      </w:r>
    </w:p>
    <w:p>
      <w:pPr>
        <w:pStyle w:val="TextBody"/>
        <w:bidi w:val="0"/>
        <w:spacing w:lineRule="auto" w:line="240" w:before="120" w:after="120"/>
        <w:jc w:val="both"/>
        <w:rPr/>
      </w:pPr>
      <w:r>
        <w:rPr>
          <w:rFonts w:ascii="Arial;sans-serif" w:hAnsi="Arial;sans-serif"/>
          <w:b w:val="false"/>
          <w:color w:val="000000"/>
          <w:sz w:val="20"/>
        </w:rPr>
        <w:t>7.</w:t>
      </w:r>
      <w:r>
        <w:rPr>
          <w:rFonts w:ascii="Arial;sans-serif" w:hAnsi="Arial;sans-serif"/>
          <w:b w:val="false"/>
          <w:color w:val="000000"/>
          <w:sz w:val="20"/>
        </w:rPr>
        <w:t>The Shares underlying Stock Units shall not be sold or otherwise disposed of in any manner that would constitute a violation of any applicable federal or state securities laws. The Company may refuse to register a transfer of the Shares on the stock transfer records of the Company if the transfer constitutes a violation of any applicable securities law and the Company may give related instructions to its transfer agent, if any, to stop registration of the transfer of the Shares.</w:t>
      </w:r>
    </w:p>
    <w:p>
      <w:pPr>
        <w:pStyle w:val="TextBody"/>
        <w:bidi w:val="0"/>
        <w:spacing w:lineRule="auto" w:line="240" w:before="120" w:after="120"/>
        <w:jc w:val="both"/>
        <w:rPr/>
      </w:pPr>
      <w:r>
        <w:rPr>
          <w:rFonts w:ascii="Arial;sans-serif" w:hAnsi="Arial;sans-serif"/>
          <w:b w:val="false"/>
          <w:color w:val="000000"/>
          <w:sz w:val="20"/>
        </w:rPr>
        <w:t>8.</w:t>
      </w:r>
      <w:r>
        <w:rPr>
          <w:rFonts w:ascii="Arial;sans-serif" w:hAnsi="Arial;sans-serif"/>
          <w:b w:val="false"/>
          <w:color w:val="000000"/>
          <w:sz w:val="20"/>
        </w:rPr>
        <w:t xml:space="preserve">This Restricted Unit Award is intended to comply with Section 409A of the Internal Revenue Code (which deals with nonqualified deferred compensation) or an exception thereto and the regulations promulgated thereunder and will be construed accordingly. To the extent a payment is subject to Section 409A and not excepted therefrom, such payment shall be treated as made on the specified date of payment if such payment is made at such date or a later date in the same calendar year or, if later, by the 15th day of the third calendar month following the specified date of payment, as provided and in accordance with Treas. Reg. § 1.409A-3(d). An Awardee shall have no right to designate the date of any payment under this Award. The Company reserves the right to administer, amend or modify the Award or to take any other action necessary or desirable to enable the Award to be interpreted and construed accordingly. Notwithstanding the foregoing, the Awardee acknowledges and agrees that Section 409A may impose upon the Awardee certain taxes or interest charges for which the Awardee is and shall remain solely responsible.. </w:t>
      </w:r>
    </w:p>
    <w:p>
      <w:pPr>
        <w:pStyle w:val="TextBody"/>
        <w:bidi w:val="0"/>
        <w:spacing w:lineRule="auto" w:line="240" w:before="120" w:after="120"/>
        <w:jc w:val="both"/>
        <w:rPr/>
      </w:pPr>
      <w:r>
        <w:rPr>
          <w:rFonts w:ascii="Arial;sans-serif" w:hAnsi="Arial;sans-serif"/>
          <w:b w:val="false"/>
          <w:color w:val="000000"/>
          <w:sz w:val="20"/>
        </w:rPr>
        <w:t>9.</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grant date noted herein (the “Forfeiture Date”), then this Award shall become null and void and all Stock Units subject to this Award shall be forfeited by the Awardee as of the Forfeiture Date. For acceptance to be valid, the Awardee must accept this Award in the manner specified by the Company. Any Shares underlying the Stock Units covered by this Award that are forfeited by the Awardee shall be returned to the Plan and resume the status of shares available for grant.</w:t>
      </w:r>
    </w:p>
    <w:p>
      <w:pPr>
        <w:pStyle w:val="TextBody"/>
        <w:bidi w:val="0"/>
        <w:spacing w:lineRule="auto" w:line="240" w:before="120" w:after="120"/>
        <w:jc w:val="both"/>
        <w:rPr/>
      </w:pPr>
      <w:r>
        <w:rPr>
          <w:rFonts w:ascii="Arial;sans-serif" w:hAnsi="Arial;sans-serif"/>
          <w:b w:val="false"/>
          <w:color w:val="000000"/>
          <w:sz w:val="20"/>
        </w:rPr>
        <w:t>10.</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10.65</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 xml:space="preserve">CASH SETTLED LONG-TERM INCENTIVE AWARD </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FOR CHINA-BASED EMPLOYEES</w:t>
      </w:r>
    </w:p>
    <w:p>
      <w:pPr>
        <w:pStyle w:val="TextBody"/>
        <w:bidi w:val="0"/>
        <w:spacing w:lineRule="auto" w:line="288" w:before="0" w:after="240"/>
        <w:jc w:val="center"/>
        <w:rPr/>
      </w:pPr>
      <w:r>
        <w:rPr>
          <w:rFonts w:ascii="Arial;sans-serif" w:hAnsi="Arial;sans-serif"/>
          <w:b/>
          <w:color w:val="000000"/>
          <w:sz w:val="20"/>
        </w:rPr>
        <w:t xml:space="preserve">AwardDate: </w:t>
      </w:r>
      <w:r>
        <w:rPr>
          <w:rFonts w:ascii="Arial;sans-serif" w:hAnsi="Arial;sans-serif"/>
          <w:b w:val="false"/>
          <w:color w:val="000000"/>
          <w:sz w:val="20"/>
        </w:rPr>
        <w:t>____________________</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Kennametal Inc. (the “Company”) hereby awards to «name» (the “Awardee”), as of the Award Date listed above, this Cash Settled Long-Term Incentive Award (the “Award”) for «number of award units» Award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lineRule="auto" w:line="240" w:before="120" w:after="120"/>
        <w:jc w:val="both"/>
        <w:rPr/>
      </w:pPr>
      <w:r>
        <w:rPr>
          <w:rFonts w:ascii="Arial;sans-serif" w:hAnsi="Arial;sans-serif"/>
          <w:b w:val="false"/>
          <w:color w:val="000000"/>
          <w:sz w:val="20"/>
        </w:rPr>
        <w:t>1.</w:t>
      </w:r>
      <w:r>
        <w:rPr>
          <w:rFonts w:ascii="Arial;sans-serif" w:hAnsi="Arial;sans-serif"/>
          <w:b w:val="false"/>
          <w:color w:val="000000"/>
          <w:sz w:val="20"/>
        </w:rPr>
        <w:t>Notwithstanding any provisions of the Plan, each Award Unit represents the right to receive a cash payment from the Company (or an Affiliate or Subsidiary thereof, as applicable) equal to the Fair Market Value of one Share of the Company’s Capital (“Company Stock”) Award, par value $1.25 per share, subject to the Forfeiture Restrictions (defined below). Notwithstanding, Award Units as initially awarded have no independent economic value, but rather are mere units of measurement used for purpose of calculating the number of Award Units to be used in determining the amount of the cash payment, if any, to be made under the Award. All vested Award Units are paid in cash to the Awardee and in no circumstance is Company Stock awarded to the Awardee.</w:t>
      </w:r>
    </w:p>
    <w:p>
      <w:pPr>
        <w:pStyle w:val="TextBody"/>
        <w:bidi w:val="0"/>
        <w:spacing w:lineRule="auto" w:line="240" w:before="120" w:after="120"/>
        <w:jc w:val="both"/>
        <w:rPr/>
      </w:pPr>
      <w:r>
        <w:rPr>
          <w:rFonts w:ascii="Arial;sans-serif" w:hAnsi="Arial;sans-serif"/>
          <w:b w:val="false"/>
          <w:color w:val="000000"/>
          <w:sz w:val="20"/>
        </w:rPr>
        <w:t>2.</w:t>
      </w:r>
      <w:r>
        <w:rPr>
          <w:rFonts w:ascii="Arial;sans-serif" w:hAnsi="Arial;sans-serif"/>
          <w:b w:val="false"/>
          <w:color w:val="000000"/>
          <w:sz w:val="20"/>
        </w:rPr>
        <w:t>The prohibition against transfer and the obligation to forfeit and surrender the Award Units to the Company are herein referred to as “Forfeiture Restrictions.” The Award Units may not be sold, assigned, pledged, exchanged, hypothecated, gifted or otherwise transferred, encumbered or disposed of, except as described in the Plan, to the extent then subject to the Forfeiture Restrictions. The Forfeiture Restrictions will be binding upon, and enforceable against, any permitted transferee of the Award Units.</w:t>
      </w:r>
    </w:p>
    <w:p>
      <w:pPr>
        <w:pStyle w:val="TextBody"/>
        <w:bidi w:val="0"/>
        <w:spacing w:lineRule="auto" w:line="240" w:before="120" w:after="120"/>
        <w:jc w:val="both"/>
        <w:rPr/>
      </w:pPr>
      <w:r>
        <w:rPr>
          <w:rFonts w:ascii="Arial;sans-serif" w:hAnsi="Arial;sans-serif"/>
          <w:b w:val="false"/>
          <w:color w:val="000000"/>
          <w:sz w:val="20"/>
        </w:rPr>
        <w:t>3.</w:t>
      </w:r>
      <w:r>
        <w:rPr>
          <w:rFonts w:ascii="Arial;sans-serif" w:hAnsi="Arial;sans-serif"/>
          <w:b w:val="false"/>
          <w:color w:val="000000"/>
          <w:sz w:val="20"/>
        </w:rPr>
        <w:t>Provided that the Awardee does not Separate from Service and maintains Continuous Status as an Employee from the Grant Date through the lapse date, the Forfeiture Restrictions will lapse as to 100% of the Award Units on the second anniversary of the Grant Date.</w:t>
      </w:r>
    </w:p>
    <w:p>
      <w:pPr>
        <w:pStyle w:val="TextBody"/>
        <w:bidi w:val="0"/>
        <w:spacing w:lineRule="auto" w:line="240" w:before="0" w:after="120"/>
        <w:jc w:val="both"/>
        <w:rPr/>
      </w:pPr>
      <w:r>
        <w:rPr>
          <w:rFonts w:ascii="Arial;sans-serif" w:hAnsi="Arial;sans-serif"/>
          <w:b w:val="false"/>
          <w:color w:val="000000"/>
          <w:sz w:val="20"/>
        </w:rPr>
        <w:t>4.</w:t>
      </w:r>
      <w:r>
        <w:rPr>
          <w:rFonts w:ascii="Arial;sans-serif" w:hAnsi="Arial;sans-serif"/>
          <w:b w:val="false"/>
          <w:color w:val="000000"/>
          <w:sz w:val="20"/>
        </w:rPr>
        <w:t>The Awardee shall have only the Company's unfunded, unsecured promise to pay pursuant to the terms of this Award. The rights of the Awardee hereunder shall be that of an unsecured general creditor of the Company, and the Awardee shall not have any security interest in any assets of the Company (or an Affiliate or Subsidiary thereof). The Awardee shall not have any rights of ownership in Company Stock, including, but not limited to, the right to vote or accrue dividends on Company Stock .</w:t>
      </w:r>
    </w:p>
    <w:p>
      <w:pPr>
        <w:pStyle w:val="TextBody"/>
        <w:bidi w:val="0"/>
        <w:spacing w:lineRule="auto" w:line="240" w:before="0" w:after="120"/>
        <w:jc w:val="both"/>
        <w:rPr/>
      </w:pPr>
      <w:r>
        <w:rPr>
          <w:rFonts w:ascii="Arial;sans-serif" w:hAnsi="Arial;sans-serif"/>
          <w:b w:val="false"/>
          <w:color w:val="000000"/>
          <w:sz w:val="20"/>
        </w:rPr>
        <w:t>5.</w:t>
      </w:r>
      <w:r>
        <w:rPr>
          <w:rFonts w:ascii="Arial;sans-serif" w:hAnsi="Arial;sans-serif"/>
          <w:b w:val="false"/>
          <w:color w:val="000000"/>
          <w:sz w:val="20"/>
        </w:rPr>
        <w:t xml:space="preserve">The Award Units, to the extent then subject to the Forfeiture Restrictions, will be forfeited to the Company upon Separation from Service for any reason </w:t>
      </w:r>
      <w:r>
        <w:rPr>
          <w:rFonts w:ascii="Arial;sans-serif" w:hAnsi="Arial;sans-serif"/>
          <w:b w:val="false"/>
          <w:i/>
          <w:color w:val="000000"/>
          <w:sz w:val="20"/>
        </w:rPr>
        <w:t>other than</w:t>
      </w:r>
      <w:r>
        <w:rPr>
          <w:color w:val="000000"/>
        </w:rPr>
        <w:t xml:space="preserve"> </w:t>
      </w:r>
      <w:r>
        <w:rPr>
          <w:rFonts w:ascii="Arial;sans-serif" w:hAnsi="Arial;sans-serif"/>
          <w:b w:val="false"/>
          <w:color w:val="000000"/>
          <w:sz w:val="20"/>
        </w:rPr>
        <w:t xml:space="preserve">death, Disability, Retirement (including Early Retirement), or involuntary termination by the Company without cause or voluntary termination by the Awardee for Good Reason (a) within the six-month period immediately preceding a Change in Control in contemplation of such Change in Control (and the Change in Control actually occurs) or (b) during the two-year period following a Change in Control (a " Change in Control Separation"). In the event that the Awardee Separates from Service as a result of death, Disability, Retirement (including Early Retirement) or a Change in Control Separation, the vesting and/or forfeiture of the Award Units shall be determined as provided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pPr>
      <w:r>
        <w:rPr>
          <w:rFonts w:ascii="Arial;sans-serif" w:hAnsi="Arial;sans-serif"/>
          <w:b w:val="false"/>
          <w:color w:val="000000"/>
          <w:sz w:val="20"/>
        </w:rPr>
        <w:t>6.</w:t>
      </w:r>
      <w:r>
        <w:rPr>
          <w:rFonts w:ascii="Arial;sans-serif" w:hAnsi="Arial;sans-serif"/>
          <w:b w:val="false"/>
          <w:color w:val="000000"/>
          <w:sz w:val="20"/>
        </w:rPr>
        <w:t xml:space="preserve">Except as otherwise provided herein, a cash payment equal to the Fair Market Value of the Shares of Company Stock underlying the Award Units which are no longer subject to Forfeiture Restrictions shall be made to the Awardee on the lapse date (or as soon as reasonably practicable thereafter but in no event later than the 15th day of the third month following the end of the fiscal year in which the lapse date occurs), subject to the Awardee’s satisfaction of all applicable income and employment withholding taxes. For the avoidance of doubt, in the People’s Republic of China, the Company, per se, will not make such cash payment to the Awardee, instead, the Chinese local subsidiary of the Company will, using its own RMB funds, make such cash payment in RMB equal to the Fair Market Value at the current foreign exchange rate to the Awardee on the lapse date. </w:t>
      </w:r>
    </w:p>
    <w:p>
      <w:pPr>
        <w:pStyle w:val="TextBody"/>
        <w:bidi w:val="0"/>
        <w:spacing w:lineRule="auto" w:line="288" w:before="120" w:after="120"/>
        <w:jc w:val="both"/>
        <w:rPr/>
      </w:pPr>
      <w:r>
        <w:rPr>
          <w:rFonts w:ascii="Arial;sans-serif" w:hAnsi="Arial;sans-serif"/>
          <w:b w:val="false"/>
          <w:color w:val="000000"/>
          <w:sz w:val="20"/>
        </w:rPr>
        <w:t>7.</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Award Date noted herein (the “Forfeiture Date”), then this Award shall become null and void and all Award Units subject to this Award shall be forfeited by the Awardee as of the Forfeiture Date. For acceptance to be valid, the Awardee must accept this Award in the manner specified by the Company.</w:t>
      </w:r>
    </w:p>
    <w:p>
      <w:pPr>
        <w:pStyle w:val="TextBody"/>
        <w:bidi w:val="0"/>
        <w:spacing w:lineRule="auto" w:line="288" w:before="120" w:after="120"/>
        <w:jc w:val="left"/>
        <w:rPr/>
      </w:pPr>
      <w:r>
        <w:rPr>
          <w:rFonts w:ascii="Arial;sans-serif" w:hAnsi="Arial;sans-serif"/>
          <w:b w:val="false"/>
          <w:color w:val="000000"/>
          <w:sz w:val="20"/>
        </w:rPr>
        <w:t>8.</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left"/>
        <w:rPr/>
      </w:pPr>
      <w:r>
        <w:rPr/>
      </w:r>
    </w:p>
    <w:p>
      <w:pPr>
        <w:pStyle w:val="TextBody"/>
        <w:bidi w:val="0"/>
        <w:spacing w:lineRule="auto" w:line="288" w:before="0" w:after="720"/>
        <w:ind w:left="0" w:right="0" w:firstLine="360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10.66</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RESTRICTED UNIT AWARD</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FOR NON-EMPLOYEE DIRECTORS</w:t>
      </w:r>
    </w:p>
    <w:p>
      <w:pPr>
        <w:pStyle w:val="TextBody"/>
        <w:bidi w:val="0"/>
        <w:spacing w:before="0" w:after="0"/>
        <w:jc w:val="center"/>
        <w:rPr/>
      </w:pPr>
      <w:r>
        <w:rPr/>
      </w:r>
    </w:p>
    <w:p>
      <w:pPr>
        <w:pStyle w:val="TextBody"/>
        <w:bidi w:val="0"/>
        <w:spacing w:lineRule="auto" w:line="288" w:before="0" w:after="240"/>
        <w:jc w:val="center"/>
        <w:rPr/>
      </w:pPr>
      <w:r>
        <w:rPr>
          <w:rFonts w:ascii="Arial;sans-serif" w:hAnsi="Arial;sans-serif"/>
          <w:b/>
          <w:color w:val="000000"/>
          <w:sz w:val="20"/>
        </w:rPr>
        <w:t xml:space="preserve">Grant Date: </w:t>
      </w:r>
      <w:r>
        <w:rPr>
          <w:rFonts w:ascii="Arial;sans-serif" w:hAnsi="Arial;sans-serif"/>
          <w:b w:val="false"/>
          <w:color w:val="000000"/>
          <w:sz w:val="20"/>
        </w:rPr>
        <w:t>____________________</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Kennametal Inc. (the “Company”) hereby grants to «name» (the “Awardee”), as of the Grant Date listed above, this Restricted Unit Award (the “Award”) for «number of stock units» Stock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lineRule="auto" w:line="240" w:before="120" w:after="120"/>
        <w:jc w:val="both"/>
        <w:rPr/>
      </w:pPr>
      <w:r>
        <w:rPr>
          <w:rFonts w:ascii="Arial;sans-serif" w:hAnsi="Arial;sans-serif"/>
          <w:b w:val="false"/>
          <w:color w:val="000000"/>
          <w:sz w:val="20"/>
        </w:rPr>
        <w:t>1.</w:t>
      </w:r>
      <w:r>
        <w:rPr>
          <w:rFonts w:ascii="Arial;sans-serif" w:hAnsi="Arial;sans-serif"/>
          <w:b w:val="false"/>
          <w:color w:val="000000"/>
          <w:sz w:val="20"/>
        </w:rPr>
        <w:t>Each Stock Unit represents the right to receive one Share of the Company’s Capital Stock, par value $1.25 per share, subject to the Forfeiture Restrictions (defined below). Notwithstanding, Stock Units as initially awarded have no independent economic value, but rather are mere units of measurement used for the purpose of calculating the number of Shares, if any, to be delivered under the Award.</w:t>
      </w:r>
    </w:p>
    <w:p>
      <w:pPr>
        <w:pStyle w:val="TextBody"/>
        <w:bidi w:val="0"/>
        <w:spacing w:lineRule="auto" w:line="240" w:before="120" w:after="120"/>
        <w:jc w:val="both"/>
        <w:rPr/>
      </w:pPr>
      <w:r>
        <w:rPr>
          <w:rFonts w:ascii="Arial;sans-serif" w:hAnsi="Arial;sans-serif"/>
          <w:b w:val="false"/>
          <w:color w:val="000000"/>
          <w:sz w:val="20"/>
        </w:rPr>
        <w:t>2.</w:t>
      </w:r>
      <w:r>
        <w:rPr>
          <w:rFonts w:ascii="Arial;sans-serif" w:hAnsi="Arial;sans-serif"/>
          <w:b w:val="false"/>
          <w:color w:val="000000"/>
          <w:sz w:val="20"/>
        </w:rPr>
        <w:t xml:space="preserve">The prohibition against transfer and the obligation to forfeit and surrender the Stock Units to the Company are herein referred to as “Forfeiture Restrictions.” The Stock Units may not be sold, assigned, pledged, exchanged, hypothecated, gifted or otherwise transferred, encumbered or disposed of, except as described in the Plan, to the extent then subject to the Forfeiture Restrictions. The Forfeiture Restrictions will be binding upon, and enforceable against, any permitted transferee of the Stock Units. </w:t>
      </w:r>
    </w:p>
    <w:p>
      <w:pPr>
        <w:pStyle w:val="TextBody"/>
        <w:bidi w:val="0"/>
        <w:spacing w:lineRule="auto" w:line="240" w:before="120" w:after="120"/>
        <w:jc w:val="both"/>
        <w:rPr/>
      </w:pPr>
      <w:r>
        <w:rPr>
          <w:rFonts w:ascii="Arial;sans-serif" w:hAnsi="Arial;sans-serif"/>
          <w:b w:val="false"/>
          <w:color w:val="000000"/>
          <w:sz w:val="20"/>
        </w:rPr>
        <w:t>3.</w:t>
      </w:r>
      <w:r>
        <w:rPr>
          <w:rFonts w:ascii="Arial;sans-serif" w:hAnsi="Arial;sans-serif"/>
          <w:b w:val="false"/>
          <w:color w:val="000000"/>
          <w:sz w:val="20"/>
        </w:rPr>
        <w:t xml:space="preserve">Provided that the Awardee maintains Continuous Status as a Non-Employee Director from the Grant Date through the lapse date, the Forfeiture Restrictions will lapse as follows: (a) on the first anniversary of the Grant Date, one-third (1/3) of the Stock Units will vest and the Forfeiture Restrictions will lapse as to those Stock Units; (b) on the second anniversary of the Grant Date, an additional one-third (1/3) of the Stock Units will vest and the Forfeiture Restrictions will lapse as to those Stock Units; and (c) on the third anniversary of the Grant Date, the remaining one-third (1/3) of the Stock Units will vest and the Forfeiture Restrictions will lapse as to those Stock Units. </w:t>
      </w:r>
    </w:p>
    <w:p>
      <w:pPr>
        <w:pStyle w:val="TextBody"/>
        <w:bidi w:val="0"/>
        <w:spacing w:lineRule="auto" w:line="240" w:before="120" w:after="120"/>
        <w:jc w:val="both"/>
        <w:rPr/>
      </w:pPr>
      <w:r>
        <w:rPr>
          <w:rFonts w:ascii="Arial;sans-serif" w:hAnsi="Arial;sans-serif"/>
          <w:b w:val="false"/>
          <w:color w:val="000000"/>
          <w:sz w:val="20"/>
        </w:rPr>
        <w:t>4.</w:t>
      </w:r>
      <w:r>
        <w:rPr>
          <w:rFonts w:ascii="Arial;sans-serif" w:hAnsi="Arial;sans-serif"/>
          <w:b w:val="false"/>
          <w:color w:val="000000"/>
          <w:sz w:val="20"/>
        </w:rPr>
        <w:t xml:space="preserve">In the event that the Awardee ceases to serve on the Board of Directors for any reason (including death, Disability or Retirement) other than for “cause” (as defined in the Plan), the Forfeiture Restrictions relating to any outstanding Stock Units under this Award will automatically lapse. If the Awardee is removed from the Board of Directors for “cause,” the Stock Units, to the extent then subject to the Forfeiture Restrictions, will be forfeited to the Company. </w:t>
      </w:r>
    </w:p>
    <w:p>
      <w:pPr>
        <w:pStyle w:val="TextBody"/>
        <w:bidi w:val="0"/>
        <w:spacing w:lineRule="auto" w:line="240" w:before="120" w:after="120"/>
        <w:jc w:val="both"/>
        <w:rPr/>
      </w:pPr>
      <w:r>
        <w:rPr>
          <w:rFonts w:ascii="Arial;sans-serif" w:hAnsi="Arial;sans-serif"/>
          <w:b w:val="false"/>
          <w:color w:val="000000"/>
          <w:sz w:val="20"/>
        </w:rPr>
        <w:t>5.</w:t>
      </w:r>
      <w:r>
        <w:rPr>
          <w:rFonts w:ascii="Arial;sans-serif" w:hAnsi="Arial;sans-serif"/>
          <w:b w:val="false"/>
          <w:color w:val="000000"/>
          <w:sz w:val="20"/>
        </w:rPr>
        <w:t xml:space="preserve">Except as otherwise provided herein, the shares of Company Capital Stock (the “Shares”) underlying Stock Units which are no longer subject to Forfeiture Restrictions shall be issued to the Awardee on the lapse date (or as soon as reasonably practicable thereafter but in no event later than the last day of the “applicable 2½ month period” specified in Treas. Reg. §1.409A-1(b)(4)), subject to the Awardee’s satisfaction of all applicable income and employment withholding taxes, unless deferred pursuant to the terms of a Company deferred compensation plan. Notwithstanding the foregoing or any provisions of this Award or the Plan to the contrary, for a U.S. participant who is a “specified employee” under Section 409A of the Internal Revenue Code of 1986, as amended (the “Code”) upon Separation from Service due to Retirement (including Early Retirement), Disability or a Change in Control Separation, the delivery of any Shares underlying this Award will be delayed and delivered on the first day following the six (6) month anniversary of the Awardee’s Separation from Service (or upon earlier death) if and to the extent such payments would constitute or be considered as deferred compensation under Code Section 409A, subject to the Awardee’s satisfaction of all applicable income and employment withholding taxes. </w:t>
      </w:r>
    </w:p>
    <w:p>
      <w:pPr>
        <w:pStyle w:val="TextBody"/>
        <w:bidi w:val="0"/>
        <w:spacing w:lineRule="auto" w:line="240" w:before="120" w:after="120"/>
        <w:jc w:val="both"/>
        <w:rPr/>
      </w:pPr>
      <w:r>
        <w:rPr>
          <w:rFonts w:ascii="Arial;sans-serif" w:hAnsi="Arial;sans-serif"/>
          <w:b w:val="false"/>
          <w:color w:val="000000"/>
          <w:sz w:val="20"/>
        </w:rPr>
        <w:t>6.</w:t>
      </w:r>
      <w:r>
        <w:rPr>
          <w:rFonts w:ascii="Arial;sans-serif" w:hAnsi="Arial;sans-serif"/>
          <w:b w:val="false"/>
          <w:color w:val="000000"/>
          <w:sz w:val="20"/>
        </w:rPr>
        <w:t xml:space="preserve">The Stock Units will be entitled to receive Dividend Equivalents, which will be subject to all conditions and restrictions applicable to the underlying Stock Units to which they relate, and which may not be paid until and unless the underlying Stock Units have vested. Dividend Equivalents will accrue prior to the issuance of Shares with respect to the Stock Units or their earlier forfeiture. Dividend Equivalents will be earned only for Stock Units that are earned or deemed earned under this Award for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the applicable period. With respect to Stock Units that are not earned (because the applicable Forfeiture Restrictions do not lapse or otherwise), Dividend Equivalents that were accrued for those Stock Units will be cancelled and forfeited along with the Stock Units and underlying Shares, without payment therefor by the Company or any Affiliate. Dividend Equivalents will be paid in cash at such time as the underlying Stock Units to which they relate are paid.</w:t>
      </w:r>
    </w:p>
    <w:p>
      <w:pPr>
        <w:pStyle w:val="TextBody"/>
        <w:bidi w:val="0"/>
        <w:spacing w:lineRule="auto" w:line="240" w:before="120" w:after="120"/>
        <w:jc w:val="both"/>
        <w:rPr/>
      </w:pPr>
      <w:r>
        <w:rPr>
          <w:rFonts w:ascii="Arial;sans-serif" w:hAnsi="Arial;sans-serif"/>
          <w:b w:val="false"/>
          <w:color w:val="000000"/>
          <w:sz w:val="20"/>
        </w:rPr>
        <w:t>7.</w:t>
      </w:r>
      <w:r>
        <w:rPr>
          <w:rFonts w:ascii="Arial;sans-serif" w:hAnsi="Arial;sans-serif"/>
          <w:b w:val="false"/>
          <w:color w:val="000000"/>
          <w:sz w:val="20"/>
        </w:rPr>
        <w:t>The Shares underlying Stock Units shall not be sold or otherwise disposed of in any manner that would constitute a violation of any applicable federal or state securities laws. The Company may refuse to register a transfer of the Shares on the stock transfer records of the Company if the transfer constitutes a violation of any applicable securities law and the Company may give related instructions to its transfer agent, if any, to stop registration of the transfer of the Shares.</w:t>
      </w:r>
    </w:p>
    <w:p>
      <w:pPr>
        <w:pStyle w:val="TextBody"/>
        <w:bidi w:val="0"/>
        <w:spacing w:lineRule="auto" w:line="240" w:before="120" w:after="120"/>
        <w:jc w:val="both"/>
        <w:rPr/>
      </w:pPr>
      <w:r>
        <w:rPr>
          <w:rFonts w:ascii="Arial;sans-serif" w:hAnsi="Arial;sans-serif"/>
          <w:b w:val="false"/>
          <w:color w:val="000000"/>
          <w:sz w:val="20"/>
        </w:rPr>
        <w:t>8.</w:t>
      </w:r>
      <w:r>
        <w:rPr>
          <w:rFonts w:ascii="Arial;sans-serif" w:hAnsi="Arial;sans-serif"/>
          <w:b w:val="false"/>
          <w:color w:val="000000"/>
          <w:sz w:val="20"/>
        </w:rPr>
        <w:t xml:space="preserve">This Restricted Unit Award is intended to comply with Section 409A of the Internal Revenue Code (which deals with nonqualified deferred compensation) or an exception thereto and the regulations promulgated thereunder and will be construed accordingly. To the extent a payment is subject to Section 409A and not excepted therefrom, such payment shall be treated as made on the specified date of payment if such payment is made at such date or a later date in the same calendar year or, if later, by the 15th day of the third calendar month following the specified date of payment, as provided and in accordance with Treas. Reg. § 1.409A-3(d). An Awardee shall have no right to designate the date of any payment under this Award. The Company reserves the right to administer, amend or modify the Award or to take any other action necessary or desirable to enable the Award to be interpreted and construed accordingly. Notwithstanding the foregoing, the Awardee acknowledges and agrees that Section 409A may impose upon the Awardee certain taxes or interest charges for which the Awardee is and shall remain solely responsible. </w:t>
      </w:r>
    </w:p>
    <w:p>
      <w:pPr>
        <w:pStyle w:val="TextBody"/>
        <w:bidi w:val="0"/>
        <w:spacing w:lineRule="auto" w:line="240" w:before="120" w:after="120"/>
        <w:jc w:val="both"/>
        <w:rPr/>
      </w:pPr>
      <w:r>
        <w:rPr>
          <w:rFonts w:ascii="Arial;sans-serif" w:hAnsi="Arial;sans-serif"/>
          <w:b w:val="false"/>
          <w:color w:val="000000"/>
          <w:sz w:val="20"/>
        </w:rPr>
        <w:t>9.</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grant date noted herein (the “Forfeiture Date”), then this Award shall become null and void and all Stock Units subject to this Award shall be forfeited by the Awardee as of the Forfeiture Date. For acceptance to be valid, the Awardee must accept this Award in the manner specified by the Company. Any Shares underlying the Stock Units covered by this Award that are forfeited by the Awardee shall be returned to the Plan and resume the status of shares available for grant.</w:t>
      </w:r>
    </w:p>
    <w:p>
      <w:pPr>
        <w:pStyle w:val="TextBody"/>
        <w:bidi w:val="0"/>
        <w:spacing w:lineRule="auto" w:line="240" w:before="120" w:after="120"/>
        <w:jc w:val="both"/>
        <w:rPr/>
      </w:pPr>
      <w:r>
        <w:rPr>
          <w:rFonts w:ascii="Arial;sans-serif" w:hAnsi="Arial;sans-serif"/>
          <w:b w:val="false"/>
          <w:color w:val="000000"/>
          <w:sz w:val="20"/>
        </w:rPr>
        <w:t>10.</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10.67</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RESTRICTED UNIT AWARD</w:t>
      </w:r>
    </w:p>
    <w:p>
      <w:pPr>
        <w:pStyle w:val="TextBody"/>
        <w:bidi w:val="0"/>
        <w:spacing w:before="0" w:after="0"/>
        <w:jc w:val="center"/>
        <w:rPr/>
      </w:pPr>
      <w:r>
        <w:rPr/>
      </w:r>
    </w:p>
    <w:p>
      <w:pPr>
        <w:pStyle w:val="TextBody"/>
        <w:bidi w:val="0"/>
        <w:spacing w:lineRule="auto" w:line="288" w:before="0" w:after="240"/>
        <w:jc w:val="center"/>
        <w:rPr/>
      </w:pPr>
      <w:r>
        <w:rPr>
          <w:rFonts w:ascii="Arial;sans-serif" w:hAnsi="Arial;sans-serif"/>
          <w:b/>
          <w:color w:val="000000"/>
          <w:sz w:val="20"/>
        </w:rPr>
        <w:t xml:space="preserve">Grant Date: </w:t>
      </w:r>
      <w:r>
        <w:rPr>
          <w:rFonts w:ascii="Arial;sans-serif" w:hAnsi="Arial;sans-serif"/>
          <w:b w:val="false"/>
          <w:color w:val="000000"/>
          <w:sz w:val="20"/>
        </w:rPr>
        <w:t>____________________</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Kennametal Inc. (the “Company”) hereby grants to «name» (the “Awardee”), as of the Grant Date listed above, this Restricted Unit Award (the “Award”) for «number of stock units» Stock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lineRule="auto" w:line="240" w:before="120" w:after="120"/>
        <w:jc w:val="both"/>
        <w:rPr/>
      </w:pPr>
      <w:r>
        <w:rPr>
          <w:rFonts w:ascii="Arial;sans-serif" w:hAnsi="Arial;sans-serif"/>
          <w:b w:val="false"/>
          <w:color w:val="000000"/>
          <w:sz w:val="20"/>
        </w:rPr>
        <w:t>1.</w:t>
      </w:r>
      <w:r>
        <w:rPr>
          <w:rFonts w:ascii="Arial;sans-serif" w:hAnsi="Arial;sans-serif"/>
          <w:b w:val="false"/>
          <w:color w:val="000000"/>
          <w:sz w:val="20"/>
        </w:rPr>
        <w:t>Each Stock Unit represents the right to receive one Share of the Company’s Capital Stock, par value $1.25 per share, subject to the Forfeiture Restrictions (defined below). Notwithstanding, Stock Units as initially awarded have no independent economic value, but rather are mere units of measurement used for the purpose of calculating the number of Shares, if any, to be delivered under the Award.</w:t>
      </w:r>
    </w:p>
    <w:p>
      <w:pPr>
        <w:pStyle w:val="TextBody"/>
        <w:bidi w:val="0"/>
        <w:spacing w:lineRule="auto" w:line="240" w:before="120" w:after="120"/>
        <w:jc w:val="both"/>
        <w:rPr/>
      </w:pPr>
      <w:r>
        <w:rPr>
          <w:rFonts w:ascii="Arial;sans-serif" w:hAnsi="Arial;sans-serif"/>
          <w:b w:val="false"/>
          <w:color w:val="000000"/>
          <w:sz w:val="20"/>
        </w:rPr>
        <w:t>2.</w:t>
      </w:r>
      <w:r>
        <w:rPr>
          <w:rFonts w:ascii="Arial;sans-serif" w:hAnsi="Arial;sans-serif"/>
          <w:b w:val="false"/>
          <w:color w:val="000000"/>
          <w:sz w:val="20"/>
        </w:rPr>
        <w:t xml:space="preserve">The prohibition against transfer and the obligation to forfeit and surrender the Stock Units to the Company are herein referred to as “Forfeiture Restrictions.” The Stock Units may not be sold, assigned, pledged, exchanged, hypothecated, gifted or otherwise transferred, encumbered or disposed of, except as described in the Plan, to the extent then subject to the Forfeiture Restrictions. The Forfeiture Restrictions will be binding upon, and enforceable against, any permitted transferee of the Stock Units. </w:t>
      </w:r>
    </w:p>
    <w:p>
      <w:pPr>
        <w:pStyle w:val="TextBody"/>
        <w:bidi w:val="0"/>
        <w:spacing w:lineRule="auto" w:line="240" w:before="120" w:after="120"/>
        <w:jc w:val="both"/>
        <w:rPr/>
      </w:pPr>
      <w:r>
        <w:rPr>
          <w:rFonts w:ascii="Arial;sans-serif" w:hAnsi="Arial;sans-serif"/>
          <w:b w:val="false"/>
          <w:color w:val="000000"/>
          <w:sz w:val="20"/>
        </w:rPr>
        <w:t>3.</w:t>
      </w:r>
      <w:r>
        <w:rPr>
          <w:rFonts w:ascii="Arial;sans-serif" w:hAnsi="Arial;sans-serif"/>
          <w:b w:val="false"/>
          <w:color w:val="000000"/>
          <w:sz w:val="20"/>
        </w:rPr>
        <w:t xml:space="preserve">Provided that the Awardee does not Separate from Service and maintains Continuous Status as an Employee from the Grant Date through the lapse date, the Forfeiture Restrictions will lapse as follows: (a) on the first anniversary of the Grant Date, one-third (1/3) of the Stock Units will vest and the Forfeiture Restrictions will lapse as to those Stock Units; (b) on the second anniversary of the Grant Date, an additional one-third (1/3) of the Stock Units will vest and the Forfeiture Restrictions will lapse as to those Stock Units; and (c) on the third anniversary of the Grant Date, the remaining one-third (1/3) of the Stock Units will vest and the Forfeiture Restrictions will lapse as to those Stock Units. </w:t>
      </w:r>
    </w:p>
    <w:p>
      <w:pPr>
        <w:pStyle w:val="TextBody"/>
        <w:bidi w:val="0"/>
        <w:spacing w:lineRule="auto" w:line="240" w:before="0" w:after="120"/>
        <w:jc w:val="both"/>
        <w:rPr/>
      </w:pPr>
      <w:r>
        <w:rPr>
          <w:rFonts w:ascii="Arial;sans-serif" w:hAnsi="Arial;sans-serif"/>
          <w:b w:val="false"/>
          <w:color w:val="000000"/>
          <w:sz w:val="20"/>
        </w:rPr>
        <w:t>4.</w:t>
      </w:r>
      <w:r>
        <w:rPr>
          <w:rFonts w:ascii="Arial;sans-serif" w:hAnsi="Arial;sans-serif"/>
          <w:b w:val="false"/>
          <w:color w:val="000000"/>
          <w:sz w:val="20"/>
        </w:rPr>
        <w:t xml:space="preserve">The Stock Units, to the extent then subject to the Forfeiture Restrictions, will be forfeited to the Company upon Separation from Service for any reason </w:t>
      </w:r>
      <w:r>
        <w:rPr>
          <w:rFonts w:ascii="Arial;sans-serif" w:hAnsi="Arial;sans-serif"/>
          <w:b w:val="false"/>
          <w:i/>
          <w:color w:val="000000"/>
          <w:sz w:val="20"/>
        </w:rPr>
        <w:t xml:space="preserve">other than </w:t>
      </w:r>
      <w:r>
        <w:rPr>
          <w:rFonts w:ascii="Arial;sans-serif" w:hAnsi="Arial;sans-serif"/>
          <w:b w:val="false"/>
          <w:color w:val="000000"/>
          <w:sz w:val="20"/>
        </w:rPr>
        <w:t xml:space="preserve">death, Disability, Retirement (including Early Retirement), or involuntary termination by the Company without cause or voluntary termination by the Awardee for Good Reason (a) within the six-month period immediately preceding a Change in Control in contemplation of such Change in Control (and the Change in Control actually occurs) or (b) during the two-year period following a Change in Control (a " Change in Control Separation"). In the event that the Awardee Separates from Service as a result of death, Disability, Retirement (including Early Retirement) or a Change in Control Separation, the vesting and/or forfeiture of the Stock Units shall be determined as provided in the Plan. </w:t>
      </w:r>
    </w:p>
    <w:p>
      <w:pPr>
        <w:pStyle w:val="TextBody"/>
        <w:bidi w:val="0"/>
        <w:spacing w:lineRule="auto" w:line="240" w:before="120" w:after="120"/>
        <w:jc w:val="both"/>
        <w:rPr/>
      </w:pPr>
      <w:r>
        <w:rPr>
          <w:rFonts w:ascii="Arial;sans-serif" w:hAnsi="Arial;sans-serif"/>
          <w:b w:val="false"/>
          <w:color w:val="000000"/>
          <w:sz w:val="20"/>
        </w:rPr>
        <w:t>5.</w:t>
      </w:r>
      <w:r>
        <w:rPr>
          <w:rFonts w:ascii="Arial;sans-serif" w:hAnsi="Arial;sans-serif"/>
          <w:b w:val="false"/>
          <w:color w:val="000000"/>
          <w:sz w:val="20"/>
        </w:rPr>
        <w:t xml:space="preserve">Except as otherwise provided herein, the shares of Company Capital Stock (the “Shares”) underlying Stock Units which are no longer subject to Forfeiture Restrictions shall be issued to the Awardee on the lapse date (or as soon as reasonably practicable thereafter but in no event later than the last day of the “applicable 2½ month period” specified in Treas. Reg. §1.409A-1(b)(4)), subject to the Awardee’s satisfaction of all applicable income and employment withholding taxes, unless deferred pursuant to the terms of a Company deferred compensation plan. Notwithstanding the foregoing or any provisions of this Award or the Plan to the contrary, for a U.S. participant who is a “specified employee” under Section 409A of the Internal Revenue Code of 1986, as amended (the “Code”) upon Separation from Service due to Retirement (including Early Retirement), Disability or a Change in Control Separation, the delivery of any Shares underlying this Award will be delayed and delivered on the first day following the six (6) month anniversary of the Awardee’s Separation from Service (or upon earlier death) if and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 xml:space="preserve">extent such payments would constitute or be considered as deferred compensation under Code Section 409A, subject to the Awardee’s satisfaction of all applicable income and employment withholding taxes. </w:t>
      </w:r>
    </w:p>
    <w:p>
      <w:pPr>
        <w:pStyle w:val="TextBody"/>
        <w:bidi w:val="0"/>
        <w:spacing w:lineRule="auto" w:line="240" w:before="120" w:after="120"/>
        <w:jc w:val="both"/>
        <w:rPr/>
      </w:pPr>
      <w:r>
        <w:rPr>
          <w:rFonts w:ascii="Arial;sans-serif" w:hAnsi="Arial;sans-serif"/>
          <w:b w:val="false"/>
          <w:color w:val="000000"/>
          <w:sz w:val="20"/>
        </w:rPr>
        <w:t>6.</w:t>
      </w:r>
      <w:r>
        <w:rPr>
          <w:rFonts w:ascii="Arial;sans-serif" w:hAnsi="Arial;sans-serif"/>
          <w:b w:val="false"/>
          <w:color w:val="000000"/>
          <w:sz w:val="20"/>
        </w:rPr>
        <w:t>The Stock Units will be entitled to receive Dividend Equivalents, which will be subject to all conditions and restrictions applicable to the underlying Stock Units to which they relate, and which may not be paid until and unless the underlying Stock Units have vested. Dividend Equivalents will accrue prior to the issuance of Shares with respect to the Stock Units or their earlier forfeiture. Dividend Equivalents will be earned only for Stock Units that are earned or deemed earned under this Award for the applicable period. With respect to Stock Units that are not earned (because the applicable Forfeiture Restrictions do not lapse or otherwise), Dividend Equivalents that were accrued for those Stock Units will be cancelled and forfeited along with the Stock Units and underlying Shares, without payment therefor by the Company or any Affiliate. Dividend Equivalents will be paid in cash at such time as the underlying Stock Units to which they relate are paid.</w:t>
      </w:r>
    </w:p>
    <w:p>
      <w:pPr>
        <w:pStyle w:val="TextBody"/>
        <w:bidi w:val="0"/>
        <w:spacing w:lineRule="auto" w:line="240" w:before="120" w:after="120"/>
        <w:jc w:val="both"/>
        <w:rPr/>
      </w:pPr>
      <w:r>
        <w:rPr>
          <w:rFonts w:ascii="Arial;sans-serif" w:hAnsi="Arial;sans-serif"/>
          <w:b w:val="false"/>
          <w:color w:val="000000"/>
          <w:sz w:val="20"/>
        </w:rPr>
        <w:t>7.</w:t>
      </w:r>
      <w:r>
        <w:rPr>
          <w:rFonts w:ascii="Arial;sans-serif" w:hAnsi="Arial;sans-serif"/>
          <w:b w:val="false"/>
          <w:color w:val="000000"/>
          <w:sz w:val="20"/>
        </w:rPr>
        <w:t>The Shares underlying Stock Units shall not be sold or otherwise disposed of in any manner that would constitute a violation of any applicable federal or state securities laws. The Company may refuse to register a transfer of the Shares on the stock transfer records of the Company if the transfer constitutes a violation of any applicable securities law and the Company may give related instructions to its transfer agent, if any, to stop registration of the transfer of the Shares.</w:t>
      </w:r>
    </w:p>
    <w:p>
      <w:pPr>
        <w:pStyle w:val="TextBody"/>
        <w:bidi w:val="0"/>
        <w:spacing w:lineRule="auto" w:line="240" w:before="120" w:after="120"/>
        <w:jc w:val="both"/>
        <w:rPr/>
      </w:pPr>
      <w:r>
        <w:rPr>
          <w:rFonts w:ascii="Arial;sans-serif" w:hAnsi="Arial;sans-serif"/>
          <w:b w:val="false"/>
          <w:color w:val="000000"/>
          <w:sz w:val="20"/>
        </w:rPr>
        <w:t>8.</w:t>
      </w:r>
      <w:r>
        <w:rPr>
          <w:rFonts w:ascii="Arial;sans-serif" w:hAnsi="Arial;sans-serif"/>
          <w:b w:val="false"/>
          <w:color w:val="000000"/>
          <w:sz w:val="20"/>
        </w:rPr>
        <w:t xml:space="preserve">This Restricted Unit Award is intended to comply with Section 409A of the Internal Revenue Code (which deals with nonqualified deferred compensation) or an exception thereto and the regulations promulgated thereunder and will be construed accordingly. To the extent a payment is subject to Section 409A and not excepted therefrom, such payment shall be treated as made on the specified date of payment if such payment is made at such date or a later date in the same calendar year or, if later, by the 15th day of the third calendar month following the specified date of payment, as provided and in accordance with Treas. Reg. § 1.409A-3(d). An Awardee shall have no right to designate the date of any payment under this Award. The Company reserves the right to administer, amend or modify the Award or to take any other action necessary or desirable to enable the Award to be interpreted and construed accordingly. Notwithstanding the foregoing, the Awardee acknowledges and agrees that Section 409A may impose upon the Awardee certain taxes or interest charges for which the Awardee is and shall remain solely responsible. </w:t>
      </w:r>
    </w:p>
    <w:p>
      <w:pPr>
        <w:pStyle w:val="TextBody"/>
        <w:bidi w:val="0"/>
        <w:spacing w:lineRule="auto" w:line="240" w:before="120" w:after="120"/>
        <w:jc w:val="both"/>
        <w:rPr/>
      </w:pPr>
      <w:r>
        <w:rPr>
          <w:rFonts w:ascii="Arial;sans-serif" w:hAnsi="Arial;sans-serif"/>
          <w:b w:val="false"/>
          <w:color w:val="000000"/>
          <w:sz w:val="20"/>
        </w:rPr>
        <w:t>9.</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grant date noted herein (the “Forfeiture Date”), then this Award shall become null and void and all Stock Units subject to this Award shall be forfeited by the Awardee as of the Forfeiture Date. For acceptance to be valid, the Awardee must accept this Award in the manner specified by the Company. Any Shares underlying the Stock Units covered by this Award that are forfeited by the Awardee shall be returned to the Plan and resume the status of shares available for grant.</w:t>
      </w:r>
    </w:p>
    <w:p>
      <w:pPr>
        <w:pStyle w:val="TextBody"/>
        <w:bidi w:val="0"/>
        <w:spacing w:lineRule="auto" w:line="240" w:before="120" w:after="120"/>
        <w:jc w:val="both"/>
        <w:rPr/>
      </w:pPr>
      <w:r>
        <w:rPr>
          <w:rFonts w:ascii="Arial;sans-serif" w:hAnsi="Arial;sans-serif"/>
          <w:b w:val="false"/>
          <w:color w:val="000000"/>
          <w:sz w:val="20"/>
        </w:rPr>
        <w:t>10.</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10.68</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 xml:space="preserve">CASH SETTLED LONG-TERM INCENTIVE AWARD </w:t>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FOR CHINA-BASED EMPLOYEES</w:t>
      </w:r>
    </w:p>
    <w:p>
      <w:pPr>
        <w:pStyle w:val="TextBody"/>
        <w:bidi w:val="0"/>
        <w:spacing w:lineRule="auto" w:line="288" w:before="0" w:after="240"/>
        <w:jc w:val="center"/>
        <w:rPr/>
      </w:pPr>
      <w:r>
        <w:rPr>
          <w:rFonts w:ascii="Arial;sans-serif" w:hAnsi="Arial;sans-serif"/>
          <w:b/>
          <w:color w:val="000000"/>
          <w:sz w:val="20"/>
        </w:rPr>
        <w:t xml:space="preserve">AwardDate: </w:t>
      </w:r>
      <w:r>
        <w:rPr>
          <w:rFonts w:ascii="Arial;sans-serif" w:hAnsi="Arial;sans-serif"/>
          <w:b w:val="false"/>
          <w:color w:val="000000"/>
          <w:sz w:val="20"/>
        </w:rPr>
        <w:t>____________________</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Kennametal Inc. (the “Company”) hereby awards to «name» (the “Awardee”), as of the Award Date listed above, this Cash Settled Long-Term Incentive Award (the “Award”) for «number of award units» Award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lineRule="auto" w:line="240" w:before="120" w:after="120"/>
        <w:jc w:val="both"/>
        <w:rPr/>
      </w:pPr>
      <w:r>
        <w:rPr>
          <w:rFonts w:ascii="Arial;sans-serif" w:hAnsi="Arial;sans-serif"/>
          <w:b w:val="false"/>
          <w:color w:val="000000"/>
          <w:sz w:val="20"/>
        </w:rPr>
        <w:t>1.</w:t>
      </w:r>
      <w:r>
        <w:rPr>
          <w:rFonts w:ascii="Arial;sans-serif" w:hAnsi="Arial;sans-serif"/>
          <w:b w:val="false"/>
          <w:color w:val="000000"/>
          <w:sz w:val="20"/>
        </w:rPr>
        <w:t>Notwithstanding any provisions of the Plan, each Award Unit represents the right to receive a cash payment from the Company (or an Affiliate or Subsidiary thereof, as applicable) equal to the Fair Market Value of one Share of the Company’s Capital (“Company Stock”) Award, par value $1.25 per share, subject to the Forfeiture Restrictions (defined below). Notwithstanding, Award Units as initially awarded have no independent economic value, but rather are mere units of measurement used for purpose of calculating the number of Award Units to be used in determining the amount of the cash payment, if any, to be made under the Award. All vested Award Units are paid in cash to the Awardee and in no circumstance is Company Stock awarded to the Awardee.</w:t>
      </w:r>
    </w:p>
    <w:p>
      <w:pPr>
        <w:pStyle w:val="TextBody"/>
        <w:bidi w:val="0"/>
        <w:spacing w:lineRule="auto" w:line="240" w:before="120" w:after="120"/>
        <w:jc w:val="both"/>
        <w:rPr/>
      </w:pPr>
      <w:r>
        <w:rPr>
          <w:rFonts w:ascii="Arial;sans-serif" w:hAnsi="Arial;sans-serif"/>
          <w:b w:val="false"/>
          <w:color w:val="000000"/>
          <w:sz w:val="20"/>
        </w:rPr>
        <w:t>2.</w:t>
      </w:r>
      <w:r>
        <w:rPr>
          <w:rFonts w:ascii="Arial;sans-serif" w:hAnsi="Arial;sans-serif"/>
          <w:b w:val="false"/>
          <w:color w:val="000000"/>
          <w:sz w:val="20"/>
        </w:rPr>
        <w:t>The prohibition against transfer and the obligation to forfeit and surrender the Award Units to the Company are herein referred to as “Forfeiture Restrictions.” The Award Units may not be sold, assigned, pledged, exchanged, hypothecated, gifted or otherwise transferred, encumbered or disposed of, except as described in the Plan, to the extent then subject to the Forfeiture Restrictions. The Forfeiture Restrictions will be binding upon, and enforceable against, any permitted transferee of the Award Units.</w:t>
      </w:r>
    </w:p>
    <w:p>
      <w:pPr>
        <w:pStyle w:val="TextBody"/>
        <w:bidi w:val="0"/>
        <w:spacing w:lineRule="auto" w:line="240" w:before="120" w:after="120"/>
        <w:jc w:val="both"/>
        <w:rPr/>
      </w:pPr>
      <w:r>
        <w:rPr>
          <w:rFonts w:ascii="Arial;sans-serif" w:hAnsi="Arial;sans-serif"/>
          <w:b w:val="false"/>
          <w:color w:val="000000"/>
          <w:sz w:val="20"/>
        </w:rPr>
        <w:t>3.</w:t>
      </w:r>
      <w:r>
        <w:rPr>
          <w:rFonts w:ascii="Arial;sans-serif" w:hAnsi="Arial;sans-serif"/>
          <w:b w:val="false"/>
          <w:color w:val="000000"/>
          <w:sz w:val="20"/>
        </w:rPr>
        <w:t>Provided that the Awardee does not Separate from Service and maintains Continuous Status as an Employee from the Grant Date through the lapse date, the Forfeiture Restrictions will lapse as follows: (a) on the first anniversary of the Grant Date, one-third (1/3) of the Award Units will vest and the Forfeiture Restrictions will lapse as to those Award Units; (b) on the second anniversary of the Grant Date, an additional one-third (1/3) of the Award Units will vest and the Forfeiture Restrictions will lapse as to those Award Units; and (c) on the third anniversary of the Grant Date, the remaining one-third (1/3) of the Award Units will vest and the Forfeiture Restrictions will lapse as to those Award Units.</w:t>
      </w:r>
    </w:p>
    <w:p>
      <w:pPr>
        <w:pStyle w:val="TextBody"/>
        <w:bidi w:val="0"/>
        <w:spacing w:lineRule="auto" w:line="240" w:before="0" w:after="120"/>
        <w:jc w:val="both"/>
        <w:rPr/>
      </w:pPr>
      <w:r>
        <w:rPr>
          <w:rFonts w:ascii="Arial;sans-serif" w:hAnsi="Arial;sans-serif"/>
          <w:b w:val="false"/>
          <w:color w:val="000000"/>
          <w:sz w:val="20"/>
        </w:rPr>
        <w:t>4.</w:t>
      </w:r>
      <w:r>
        <w:rPr>
          <w:rFonts w:ascii="Arial;sans-serif" w:hAnsi="Arial;sans-serif"/>
          <w:b w:val="false"/>
          <w:color w:val="000000"/>
          <w:sz w:val="20"/>
        </w:rPr>
        <w:t>The Awardee shall have only the Company's unfunded, unsecured promise to pay pursuant to the terms of this Award. The rights of the Awardee hereunder shall be that of an unsecured general creditor of the Company, and the Awardee shall not have any security interest in any assets of the Company (or an Affiliate or Subsidiary thereof). The Awardee shall not have any rights of ownership in Company Stock, including, but not limited to, the right to vote or accrue dividends on Company Stock.</w:t>
      </w:r>
    </w:p>
    <w:p>
      <w:pPr>
        <w:pStyle w:val="TextBody"/>
        <w:bidi w:val="0"/>
        <w:spacing w:lineRule="auto" w:line="240" w:before="0" w:after="120"/>
        <w:jc w:val="both"/>
        <w:rPr/>
      </w:pPr>
      <w:r>
        <w:rPr>
          <w:rFonts w:ascii="Arial;sans-serif" w:hAnsi="Arial;sans-serif"/>
          <w:b w:val="false"/>
          <w:color w:val="000000"/>
          <w:sz w:val="20"/>
        </w:rPr>
        <w:t>5.</w:t>
      </w:r>
      <w:r>
        <w:rPr>
          <w:rFonts w:ascii="Arial;sans-serif" w:hAnsi="Arial;sans-serif"/>
          <w:b w:val="false"/>
          <w:color w:val="000000"/>
          <w:sz w:val="20"/>
        </w:rPr>
        <w:t xml:space="preserve">The Award Units, to the extent then subject to the Forfeiture Restrictions, will be forfeited to the Company upon Separation from Service for any reason </w:t>
      </w:r>
      <w:r>
        <w:rPr>
          <w:rFonts w:ascii="Arial;sans-serif" w:hAnsi="Arial;sans-serif"/>
          <w:b w:val="false"/>
          <w:i/>
          <w:color w:val="000000"/>
          <w:sz w:val="20"/>
        </w:rPr>
        <w:t>other than</w:t>
      </w:r>
      <w:r>
        <w:rPr>
          <w:color w:val="000000"/>
        </w:rPr>
        <w:t xml:space="preserve"> </w:t>
      </w:r>
      <w:r>
        <w:rPr>
          <w:rFonts w:ascii="Arial;sans-serif" w:hAnsi="Arial;sans-serif"/>
          <w:b w:val="false"/>
          <w:color w:val="000000"/>
          <w:sz w:val="20"/>
        </w:rPr>
        <w:t xml:space="preserve">death, Disability, Retirement (including Early Retirement), or involuntary termination by the Company without cause or voluntary termination by the Awardee for Good Reason (a) within the six-month period immediately preceding a Change in Control in contemplation of such Change in Control (and the Change in Control actually occurs) or (b) during the two-year period following a Change in Control (a " Change in Control Separation"). In the event that the Awardee Separates from Service as a result of death, Disability, Retirement (including Early Retirement) or a Change in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120"/>
        <w:jc w:val="both"/>
        <w:rPr>
          <w:rFonts w:ascii="Arial;sans-serif" w:hAnsi="Arial;sans-serif"/>
          <w:b w:val="false"/>
          <w:color w:val="000000"/>
          <w:sz w:val="20"/>
        </w:rPr>
      </w:pPr>
      <w:r>
        <w:rPr>
          <w:rFonts w:ascii="Arial;sans-serif" w:hAnsi="Arial;sans-serif"/>
          <w:b w:val="false"/>
          <w:color w:val="000000"/>
          <w:sz w:val="20"/>
        </w:rPr>
        <w:t xml:space="preserve">Separation, the vesting and/or forfeiture of the Award Units shall be determined as provided in the Plan. </w:t>
      </w:r>
    </w:p>
    <w:p>
      <w:pPr>
        <w:pStyle w:val="TextBody"/>
        <w:bidi w:val="0"/>
        <w:spacing w:lineRule="auto" w:line="240" w:before="120" w:after="120"/>
        <w:jc w:val="both"/>
        <w:rPr/>
      </w:pPr>
      <w:r>
        <w:rPr>
          <w:rFonts w:ascii="Arial;sans-serif" w:hAnsi="Arial;sans-serif"/>
          <w:b w:val="false"/>
          <w:color w:val="000000"/>
          <w:sz w:val="20"/>
        </w:rPr>
        <w:t>6.</w:t>
      </w:r>
      <w:r>
        <w:rPr>
          <w:rFonts w:ascii="Arial;sans-serif" w:hAnsi="Arial;sans-serif"/>
          <w:b w:val="false"/>
          <w:color w:val="000000"/>
          <w:sz w:val="20"/>
        </w:rPr>
        <w:t xml:space="preserve">Except as otherwise provided herein, a cash payment equal to the Fair Market Value of the Shares of Company Stock underlying the Award Units which are no longer subject to Forfeiture Restrictions shall be made to the Awardee on the lapse date (or as soon as reasonably practicable thereafter but in no event later than the 15th day of the third month following the end of the fiscal year in which the lapse date occurs), subject to the Awardee’s satisfaction of all applicable income and employment withholding taxes. For the avoidance of doubt, in the People’s Republic of China, the Company, per se, will not make such cash payment to the Awardee, instead, the Chinese local subsidiary of the Company will, using its own RMB funds, make such cash payment in RMB equal to the Fair Market Value at the current foreign exchange rate to the Awardee on the lapse date. </w:t>
      </w:r>
    </w:p>
    <w:p>
      <w:pPr>
        <w:pStyle w:val="TextBody"/>
        <w:bidi w:val="0"/>
        <w:spacing w:lineRule="auto" w:line="288" w:before="120" w:after="120"/>
        <w:jc w:val="both"/>
        <w:rPr/>
      </w:pPr>
      <w:r>
        <w:rPr>
          <w:rFonts w:ascii="Arial;sans-serif" w:hAnsi="Arial;sans-serif"/>
          <w:b w:val="false"/>
          <w:color w:val="000000"/>
          <w:sz w:val="20"/>
        </w:rPr>
        <w:t>7.</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Award Date noted herein (the “Forfeiture Date”), then this Award shall become null and void and all Award Units subject to this Award shall be forfeited by the Awardee as of the Forfeiture Date. For acceptance to be valid, the Awardee must accept this Award in the manner specified by the Company.</w:t>
      </w:r>
    </w:p>
    <w:p>
      <w:pPr>
        <w:pStyle w:val="TextBody"/>
        <w:bidi w:val="0"/>
        <w:spacing w:lineRule="auto" w:line="240" w:before="120" w:after="120"/>
        <w:jc w:val="both"/>
        <w:rPr/>
      </w:pPr>
      <w:r>
        <w:rPr>
          <w:rFonts w:ascii="Times New Roman;serif" w:hAnsi="Times New Roman;serif"/>
          <w:b w:val="false"/>
          <w:color w:val="000000"/>
          <w:sz w:val="24"/>
        </w:rPr>
        <w:t>8.</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720"/>
        <w:ind w:left="0" w:right="0" w:firstLine="360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10.69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PERFORMANCE UNIT AWARD</w:t>
      </w:r>
    </w:p>
    <w:p>
      <w:pPr>
        <w:pStyle w:val="TextBody"/>
        <w:bidi w:val="0"/>
        <w:spacing w:before="0" w:after="0"/>
        <w:jc w:val="center"/>
        <w:rPr/>
      </w:pPr>
      <w:r>
        <w:rPr/>
      </w:r>
    </w:p>
    <w:p>
      <w:pPr>
        <w:pStyle w:val="TextBody"/>
        <w:bidi w:val="0"/>
        <w:spacing w:lineRule="auto" w:line="333" w:before="0" w:after="0"/>
        <w:jc w:val="center"/>
        <w:rPr/>
      </w:pPr>
      <w:r>
        <w:rPr>
          <w:rFonts w:ascii="Arial;sans-serif" w:hAnsi="Arial;sans-serif"/>
          <w:b/>
          <w:color w:val="000000"/>
          <w:sz w:val="20"/>
        </w:rPr>
        <w:t xml:space="preserve">Grant Date: </w:t>
      </w:r>
      <w:r>
        <w:rPr>
          <w:rFonts w:ascii="Arial;sans-serif" w:hAnsi="Arial;sans-serif"/>
          <w:b w:val="false"/>
          <w:color w:val="000000"/>
          <w:sz w:val="20"/>
          <w:u w:val="single"/>
        </w:rPr>
        <w:t>________________</w:t>
      </w:r>
    </w:p>
    <w:p>
      <w:pPr>
        <w:pStyle w:val="TextBody"/>
        <w:bidi w:val="0"/>
        <w:spacing w:before="0" w:after="0"/>
        <w:jc w:val="center"/>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Kennametal Inc. (the “Company”) hereby grants to «name» (the “Awardee”), as of the Grant Date listed above, this Performance Unit Award (the “Award”) for «number of target stock units» Stock Units, subject to the terms and conditions of the Kennametal Inc. 2024 Stock and Incentive (the “Plan”) and the additional terms listed below. Capitalized terms used herein, but not otherwise defined, shall have the same meaning ascribed to them in the Plan.</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20"/>
        </w:rPr>
        <w:t>1.</w:t>
      </w:r>
      <w:r>
        <w:rPr>
          <w:rFonts w:ascii="Arial;sans-serif" w:hAnsi="Arial;sans-serif"/>
          <w:b w:val="false"/>
          <w:color w:val="000000"/>
          <w:sz w:val="20"/>
        </w:rPr>
        <w:t xml:space="preserve">Each Stock Unit represents the right to receive one Share of the Company’s Capital Stock, par value $1.25 per share, subject to the satisfaction of the Service Condition described herein and the Performance Conditions attached hereto as </w:t>
      </w:r>
      <w:r>
        <w:rPr>
          <w:rFonts w:ascii="Arial;sans-serif" w:hAnsi="Arial;sans-serif"/>
          <w:b/>
          <w:color w:val="000000"/>
          <w:sz w:val="20"/>
          <w:u w:val="single"/>
        </w:rPr>
        <w:t>Exhibit A</w:t>
      </w:r>
      <w:r>
        <w:rPr>
          <w:rFonts w:ascii="Arial;sans-serif" w:hAnsi="Arial;sans-serif"/>
          <w:b w:val="false"/>
          <w:color w:val="000000"/>
          <w:sz w:val="20"/>
        </w:rPr>
        <w:t>. Stock Units as initially awarded have no independent economic value, but rather are mere units of measurement used for purposes of calculating the number of Shares, if any, to be delivered under this Award. The maximum amount of Stock Units that may be earned under this Award is equal to 2.0 times the target number of Stock Units listed in the preamble above.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2.</w:t>
      </w:r>
      <w:r>
        <w:rPr>
          <w:rFonts w:ascii="Arial;sans-serif" w:hAnsi="Arial;sans-serif"/>
          <w:b w:val="false"/>
          <w:color w:val="000000"/>
          <w:sz w:val="20"/>
        </w:rPr>
        <w:t xml:space="preserve">Except as otherwise provided in this Award, Awardee must be actively employed by the Company on the Payment Date (defined below) to be eligible to receive Shares in payment of any Stock Units earned under this Award (the “Service Condition”).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3.</w:t>
      </w:r>
      <w:r>
        <w:rPr>
          <w:rFonts w:ascii="Arial;sans-serif" w:hAnsi="Arial;sans-serif"/>
          <w:b w:val="false"/>
          <w:color w:val="000000"/>
          <w:sz w:val="20"/>
        </w:rPr>
        <w:t>In addition to satisfaction of the Service Condition, payment under this Award is subject to, and contingent upon, achievement of the annual Performance Conditions during the Performance Period</w:t>
      </w:r>
      <w:r>
        <w:rPr>
          <w:color w:val="0000FF"/>
          <w:u w:val="single"/>
        </w:rPr>
        <w:t xml:space="preserve"> </w:t>
      </w:r>
      <w:r>
        <w:rPr>
          <w:rFonts w:ascii="Arial;sans-serif" w:hAnsi="Arial;sans-serif"/>
          <w:b w:val="false"/>
          <w:color w:val="000000"/>
          <w:sz w:val="20"/>
        </w:rPr>
        <w:t xml:space="preserve">specified on </w:t>
      </w:r>
      <w:r>
        <w:rPr>
          <w:rFonts w:ascii="Arial;sans-serif" w:hAnsi="Arial;sans-serif"/>
          <w:b/>
          <w:color w:val="000000"/>
          <w:sz w:val="20"/>
          <w:u w:val="single"/>
        </w:rPr>
        <w:t>Exhibit A</w:t>
      </w:r>
      <w:r>
        <w:rPr>
          <w:rFonts w:ascii="Arial;sans-serif" w:hAnsi="Arial;sans-serif"/>
          <w:b w:val="false"/>
          <w:color w:val="000000"/>
          <w:sz w:val="20"/>
        </w:rPr>
        <w:t xml:space="preserve">. The amount of this Award payable to Awardee will be determined by the level of achievement of the annual Performance Conditions as set forth in </w:t>
      </w:r>
      <w:r>
        <w:rPr>
          <w:rFonts w:ascii="Arial;sans-serif" w:hAnsi="Arial;sans-serif"/>
          <w:b/>
          <w:color w:val="000000"/>
          <w:sz w:val="20"/>
          <w:u w:val="single"/>
        </w:rPr>
        <w:t>Exhibit A</w:t>
      </w:r>
      <w:r>
        <w:rPr>
          <w:rFonts w:ascii="Arial;sans-serif" w:hAnsi="Arial;sans-serif"/>
          <w:b w:val="false"/>
          <w:color w:val="000000"/>
          <w:sz w:val="20"/>
        </w:rPr>
        <w:t>. Achievement of the Performance Conditions, including the level of achievement, if any, for each fiscal year in the Performance Period shall be determined by the Compensation Committee of the Board of Directors (the “Compensation Committee”), in its sole discretion, and Awardee agrees to be bound by such determination; provided, however, the Compensation Committee shall not use its discretionary authority reserved to it under Section 6(f) of the Plan to reduce the number of Stock Units earned, if any, based on the achievement of the Performance Conditions pursuant to the terms and conditions of this Award. For each fiscal year of the Performance Period, any Stock Units that are not earned will be cancelled and forfeited at the end of such fiscal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4.</w:t>
      </w:r>
      <w:r>
        <w:rPr>
          <w:rFonts w:ascii="Arial;sans-serif" w:hAnsi="Arial;sans-serif"/>
          <w:b w:val="false"/>
          <w:color w:val="000000"/>
          <w:sz w:val="20"/>
        </w:rPr>
        <w:t>Issuance and Distribution.</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At the end of each fiscal year of the Performance Period to which this Award relates, the Compensation Committee will certify in writing the extent to which the applicable annual Performance Conditions have been achieved. For purposes of this provision, the approved minutes of the Committee meeting in which the certification is made may be treated as written certification.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Subject to the terms and conditions of this Award and unless otherwise specifically provided herein, Stock Units earned by an Awardee will be settled and paid in Shares of the Company’s Capital Stock as soon as practicable following the end of the three-year Performance Period on a date determined in the Company’s discretion, but in no event later than the last day of the “applicable 2½ month period” specified in Treas. Reg. §1.409A-1(b)(4) (the “Payment Date”).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7630"/>
                <wp:effectExtent l="0" t="0" r="0" b="0"/>
                <wp:wrapNone/>
                <wp:docPr id="96" name="Frame95"/>
                <a:graphic xmlns:a="http://schemas.openxmlformats.org/drawingml/2006/main">
                  <a:graphicData uri="http://schemas.microsoft.com/office/word/2010/wordprocessingShape">
                    <wps:wsp>
                      <wps:cNvSpPr txBox="1"/>
                      <wps:spPr>
                        <a:xfrm>
                          <a:off x="0" y="0"/>
                          <a:ext cx="6480175" cy="87630"/>
                        </a:xfrm>
                        <a:prstGeom prst="rect"/>
                        <a:solidFill>
                          <a:srgbClr val="FFFFFF"/>
                        </a:solidFill>
                      </wps:spPr>
                      <wps:txbx>
                        <w:txbxContent>
                          <w:p>
                            <w:pPr>
                              <w:pStyle w:val="TextBody"/>
                              <w:bidi w:val="0"/>
                              <w:spacing w:lineRule="auto" w:line="288" w:before="0" w:after="240"/>
                              <w:jc w:val="left"/>
                              <w:rPr>
                                <w:rFonts w:ascii="Arial;sans-serif" w:hAnsi="Arial;sans-serif"/>
                                <w:b w:val="false"/>
                                <w:color w:val="000000"/>
                                <w:sz w:val="12"/>
                              </w:rPr>
                            </w:pPr>
                            <w:r>
                              <w:rPr>
                                <w:rFonts w:ascii="Arial;sans-serif" w:hAnsi="Arial;sans-serif"/>
                                <w:b w:val="false"/>
                                <w:color w:val="000000"/>
                                <w:sz w:val="12"/>
                              </w:rPr>
                              <w:t>US_ACTIVE-182047922.2-JGAROMAT 06/19/2025 9:14 AM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left"/>
                        <w:rPr>
                          <w:rFonts w:ascii="Arial;sans-serif" w:hAnsi="Arial;sans-serif"/>
                          <w:b w:val="false"/>
                          <w:color w:val="000000"/>
                          <w:sz w:val="12"/>
                        </w:rPr>
                      </w:pPr>
                      <w:r>
                        <w:rPr>
                          <w:rFonts w:ascii="Arial;sans-serif" w:hAnsi="Arial;sans-serif"/>
                          <w:b w:val="false"/>
                          <w:color w:val="000000"/>
                          <w:sz w:val="12"/>
                        </w:rPr>
                        <w:t>US_ACTIVE-182047922.2-JGAROMAT 06/19/2025 9:14 AM</w:t>
                      </w:r>
                    </w:p>
                  </w:txbxContent>
                </v:textbox>
                <w10:wrap type="none"/>
              </v:rect>
            </w:pict>
          </mc:Fallback>
        </mc:AlternateContent>
      </w:r>
    </w:p>
    <w:p>
      <w:pPr>
        <w:pStyle w:val="TextBody"/>
        <w:bidi w:val="0"/>
        <w:spacing w:lineRule="auto" w:line="288" w:before="0" w:after="240"/>
        <w:jc w:val="left"/>
        <w:rPr/>
      </w:pPr>
      <w:r>
        <w:rPr>
          <w:rFonts w:ascii="Arial;sans-serif" w:hAnsi="Arial;sans-serif"/>
          <w:b w:val="false"/>
          <w:color w:val="000000"/>
          <w:sz w:val="20"/>
        </w:rPr>
        <w:t>5.</w:t>
      </w:r>
      <w:r>
        <w:rPr>
          <w:rFonts w:ascii="Arial;sans-serif" w:hAnsi="Arial;sans-serif"/>
          <w:b w:val="false"/>
          <w:color w:val="000000"/>
          <w:sz w:val="20"/>
        </w:rPr>
        <w:t>Change in Awardee’s Status; Change in Control.</w:t>
      </w:r>
    </w:p>
    <w:p>
      <w:pPr>
        <w:pStyle w:val="TextBody"/>
        <w:bidi w:val="0"/>
        <w:spacing w:lineRule="auto" w:line="288" w:before="120" w:after="120"/>
        <w:ind w:left="0" w:right="0" w:firstLine="720"/>
        <w:jc w:val="both"/>
        <w:rPr/>
      </w:pPr>
      <w:r>
        <w:rPr>
          <w:rFonts w:ascii="Arial;sans-serif" w:hAnsi="Arial;sans-serif"/>
          <w:b w:val="false"/>
          <w:color w:val="000000"/>
          <w:sz w:val="20"/>
        </w:rPr>
        <w:t>a.    </w:t>
      </w:r>
      <w:r>
        <w:rPr>
          <w:rFonts w:ascii="Arial;sans-serif" w:hAnsi="Arial;sans-serif"/>
          <w:b w:val="false"/>
          <w:color w:val="000000"/>
          <w:sz w:val="20"/>
          <w:u w:val="single"/>
        </w:rPr>
        <w:t>Death or Disability</w:t>
      </w:r>
      <w:r>
        <w:rPr>
          <w:rFonts w:ascii="Arial;sans-serif" w:hAnsi="Arial;sans-serif"/>
          <w:b w:val="false"/>
          <w:color w:val="000000"/>
          <w:sz w:val="20"/>
        </w:rPr>
        <w:t xml:space="preserve">. In the event an Awardee Separates from Service before the Payment Date on account of death or Disability, the Service Condition will be waived. For completed fiscal years, Awardee shall be entitled to receive payment for any Stock Units that have been earned based on the achievement of the Performance Conditions applicable to such fiscal year. For fiscal years not completed, the Performance Conditions will be deemed to have been achieved at the target level and the Awardee will be deemed to have earned for each such fiscal year a number of Stock Units that were able to be earned for such fiscal year.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Subject to the terms and conditions of this Award and unless otherwise specifically provided herein, in the event an Awardee Separates from Service on account of death or Disability, the Stock Units, to the extent earned by the Awardee, shall be paid as soon as practicable following the date of such Separation from Service, but in no event later than the last day of the “applicable 2½ month period” specified in Treas. Reg. §1.409A-1(b)(4). </w:t>
      </w:r>
    </w:p>
    <w:p>
      <w:pPr>
        <w:pStyle w:val="TextBody"/>
        <w:bidi w:val="0"/>
        <w:spacing w:lineRule="auto" w:line="288" w:before="0" w:after="240"/>
        <w:ind w:left="0" w:right="0" w:firstLine="720"/>
        <w:jc w:val="both"/>
        <w:rPr/>
      </w:pPr>
      <w:r>
        <w:rPr>
          <w:rFonts w:ascii="Arial;sans-serif" w:hAnsi="Arial;sans-serif"/>
          <w:b w:val="false"/>
          <w:color w:val="000000"/>
          <w:sz w:val="20"/>
        </w:rPr>
        <w:t>b.    </w:t>
      </w:r>
      <w:r>
        <w:rPr>
          <w:rFonts w:ascii="Arial;sans-serif" w:hAnsi="Arial;sans-serif"/>
          <w:b w:val="false"/>
          <w:color w:val="000000"/>
          <w:sz w:val="20"/>
          <w:u w:val="single"/>
        </w:rPr>
        <w:t>Change in Control</w:t>
      </w:r>
      <w:r>
        <w:rPr>
          <w:rFonts w:ascii="Arial;sans-serif" w:hAnsi="Arial;sans-serif"/>
          <w:b w:val="false"/>
          <w:color w:val="000000"/>
          <w:sz w:val="20"/>
        </w:rPr>
        <w:t>. In the event there is a Change in Control during the Performance Period, (i) with respect to all outstanding Performance Units subject to this Award (other than Performance Units for fiscal years within the Performance Period that were completed prior to the Change in Control), the target level of performance set forth with respect to each performance criterion under such Performance Units shall be deemed to have been attained (or, if higher, the actual level of performance achieved) and such Performance Units shall be converted into, and remain outstanding, as Restricted Units and (ii) with respect to Performance Units for fiscal years within the Performance Period that were completed prior to the Change in Control, such Performance Units, measured at actual performance achieved, shall remain outstanding. Unless otherwise specifically provided herein, payment under this Award will remain subject to the satisfaction of the Service Condition.</w:t>
      </w:r>
    </w:p>
    <w:p>
      <w:pPr>
        <w:pStyle w:val="TextBody"/>
        <w:bidi w:val="0"/>
        <w:spacing w:lineRule="auto" w:line="288" w:before="240" w:after="240"/>
        <w:ind w:left="0" w:right="0" w:firstLine="720"/>
        <w:jc w:val="both"/>
        <w:rPr/>
      </w:pPr>
      <w:r>
        <w:rPr>
          <w:rFonts w:ascii="Arial;sans-serif" w:hAnsi="Arial;sans-serif"/>
          <w:b w:val="false"/>
          <w:color w:val="000000"/>
          <w:sz w:val="20"/>
        </w:rPr>
        <w:t>c.    </w:t>
      </w:r>
      <w:r>
        <w:rPr>
          <w:rFonts w:ascii="Arial;sans-serif" w:hAnsi="Arial;sans-serif"/>
          <w:b w:val="false"/>
          <w:color w:val="000000"/>
          <w:sz w:val="20"/>
          <w:u w:val="single"/>
        </w:rPr>
        <w:t>Change in Control Separation</w:t>
      </w:r>
      <w:r>
        <w:rPr>
          <w:rFonts w:ascii="Arial;sans-serif" w:hAnsi="Arial;sans-serif"/>
          <w:b w:val="false"/>
          <w:color w:val="000000"/>
          <w:sz w:val="20"/>
        </w:rPr>
        <w:t>. In the event an Awardee Separates from Service prior to the Payment Date on account of an involuntary termination by the Company without cause or Awardee voluntarily terminates employment for Good Reason (as defined in the Plan) (a) within the six-month period immediately preceding a Change in Control in contemplation of such Change in Control (and the Change in Control actually occurs) or (b) during the two-year period following a Change in Control (a “Change in Control Separation”), the Service Condition applicable to the Performance Units and/or Restricted Units into which such Performance Units were converted upon the Change in Control will be waived and such Performance Units and/or Restricted Units shall be fully vested and nonforfeitable.</w:t>
      </w:r>
    </w:p>
    <w:p>
      <w:pPr>
        <w:pStyle w:val="TextBody"/>
        <w:bidi w:val="0"/>
        <w:spacing w:lineRule="auto" w:line="288" w:before="0" w:after="240"/>
        <w:ind w:left="0" w:right="0" w:firstLine="720"/>
        <w:jc w:val="both"/>
        <w:rPr/>
      </w:pPr>
      <w:r>
        <w:rPr>
          <w:rFonts w:ascii="Arial;sans-serif" w:hAnsi="Arial;sans-serif"/>
          <w:b w:val="false"/>
          <w:color w:val="000000"/>
          <w:sz w:val="20"/>
        </w:rPr>
        <w:t>d.    </w:t>
      </w:r>
      <w:r>
        <w:rPr>
          <w:rFonts w:ascii="Arial;sans-serif" w:hAnsi="Arial;sans-serif"/>
          <w:b w:val="false"/>
          <w:color w:val="000000"/>
          <w:sz w:val="20"/>
          <w:u w:val="single"/>
        </w:rPr>
        <w:t>Retirement</w:t>
      </w:r>
      <w:r>
        <w:rPr>
          <w:rFonts w:ascii="Arial;sans-serif" w:hAnsi="Arial;sans-serif"/>
          <w:b w:val="false"/>
          <w:color w:val="000000"/>
          <w:sz w:val="20"/>
        </w:rPr>
        <w:t xml:space="preserve">. In the event a Retirement Eligible Awardee (as defined below) Separates from Service on account of Retirement (including Early Retirement) during the Performance Period, the Service Condition will be waived (i) in the case of Retirement other than Early Retirement, on all outstanding Stock Units or (ii) in the case of Early Retirement, on a pro-rata portion of such Stock Units based upon the ratio of the number of days of the Awardee’s employment during the Performance Period to the total number of days in the Performance Period, and the remainder of such Stock Units shall immediately terminate and be forfeited without payment by the Company or any affiliate. The amount to be paid, if any, with respect to the Stock Units on which the Service Condition was waived will be determined following the end of the Performance Period based upon the actual achievement of the Performance Condition over the Performance Period.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With respect to an Awardee who Separates from Service on account of Retirement during the Performance Period (a “Retirement Eligible Awardee”), any payment for any Award shall be made on the Payment Date provided in Section 4(b), above. Notwithstanding the foregoing or any provisions of this Award or the Plan to the contrary, for a U.S. participant who is a “specified employee” under Section 409A of the Internal Revenue Code of 1986, as amended (the “Code”) upon Separation from Service due to Retirement (including Early Retirement), Disability or a Change in Control Separation, the delivery of any Shares underlying this Award will be delayed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and delivered on the first day following the six (6) month anniversary of the Awardee’s Separation from Service (or upon earlier death) if and to the extent such payments would constitute or be considered as deferred compensation under Code Section 409A, subject to the Awardee’s satisfaction of all applicable income and employment withholding taxes.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e.    </w:t>
      </w:r>
      <w:r>
        <w:rPr>
          <w:rFonts w:ascii="Arial;sans-serif" w:hAnsi="Arial;sans-serif"/>
          <w:b w:val="false"/>
          <w:color w:val="000000"/>
          <w:sz w:val="20"/>
          <w:u w:val="single"/>
        </w:rPr>
        <w:t>All Other Separations from Service</w:t>
      </w:r>
      <w:r>
        <w:rPr>
          <w:rFonts w:ascii="Arial;sans-serif" w:hAnsi="Arial;sans-serif"/>
          <w:b w:val="false"/>
          <w:color w:val="000000"/>
          <w:sz w:val="20"/>
        </w:rPr>
        <w:t>. In the event an Awardee Separates from Service for any other reason (other than death, Disability, Retirement or Change in Control Separation), including, but not limited to, voluntarily by the Awardee, or involuntarily by the Company with or without cause, prior to the Payment Date, all Stock Units granted to the Awardee shall be cancelled and forfeited, whether payable or not, without payment by the Company or any Affiliate.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color w:val="000000"/>
          <w:sz w:val="20"/>
        </w:rPr>
        <w:t>6.</w:t>
      </w:r>
      <w:r>
        <w:rPr>
          <w:rFonts w:ascii="Arial;sans-serif" w:hAnsi="Arial;sans-serif"/>
          <w:b w:val="false"/>
          <w:color w:val="000000"/>
          <w:sz w:val="20"/>
        </w:rPr>
        <w:t xml:space="preserve">The Stock Units will be entitled to receive Dividend Equivalents, which will be subject to all conditions and restrictions applicable to the underlying Stock Units to which they relate. Dividend Equivalents may not be paid until and unless the underlying Stock Units have vested. Dividend Equivalents will accrue during the Performance Period. At the end of each fiscal year, Dividend Equivalents will be earned only for Stock Units that are earned or deemed earned under this Award for that fiscal year. With respect to Stock Units that are not earned for a fiscal year (because the applicable Performance Conditions are not satisfied or otherwise), Dividend Equivalents that were accrued for those Stock Units will be cancelled and forfeited along with the Stock Units and underlying Shares, without payment by the Company or any Affiliate. Dividend Equivalents will be paid in cash at such time as the underlying Stock Units to which they relate are paid.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7.</w:t>
      </w:r>
      <w:r>
        <w:rPr>
          <w:rFonts w:ascii="Arial;sans-serif" w:hAnsi="Arial;sans-serif"/>
          <w:b w:val="false"/>
          <w:color w:val="000000"/>
          <w:sz w:val="20"/>
        </w:rPr>
        <w:t>The Stock Units may not be sold, assigned, pledged, exchanged, hypothecated, gifted or otherwise transferred, encumbered or disposed of prior to the Payment Date, except as described herein or in the Plan.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8.</w:t>
      </w:r>
      <w:r>
        <w:rPr>
          <w:rFonts w:ascii="Arial;sans-serif" w:hAnsi="Arial;sans-serif"/>
          <w:b w:val="false"/>
          <w:color w:val="000000"/>
          <w:sz w:val="20"/>
        </w:rPr>
        <w:t>The Shares underlying the Stock Units shall not be sold or otherwise disposed of in any manner that would constitute a violation of any applicable federal or state securities laws. The Company may refuse to register a transfer of the Shares on the stock transfer records of the Company if the transfer constitutes a violation of any applicable securities law and the Company may give related instructions to its transfer agent, if any, to stop registration of the transfer of the Shares.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9.</w:t>
      </w:r>
      <w:r>
        <w:rPr>
          <w:rFonts w:ascii="Arial;sans-serif" w:hAnsi="Arial;sans-serif"/>
          <w:b w:val="false"/>
          <w:color w:val="000000"/>
          <w:sz w:val="20"/>
        </w:rPr>
        <w:t>This Performance Unit Award is intended to comply with Section 409A of the Internal Revenue Code (which deals with nonqualified deferred compensation) or an exception thereto and the regulations promulgated thereunder and will be construed accordingly. To the extent a payment is subject to Section 409A and not excepted therefrom, such payment shall be treated as made on the specified date of payment if such payment is made at such date or a later date in the same calendar year or, if later, by the 15th day of the third calendar month following the specified date of payment, as provided and in accordance with Treas. Reg. § 1.409A-3(d). An Awardee shall have no right to designate the date of any payment under this Award. The Company reserves the right to administer, amend or modify the Award or to take any other action necessary or desirable to enable the Award to be interpreted and construed accordingly. Notwithstanding the foregoing, the Awardee acknowledges and agrees that Section 409A may impose upon the Awardee certain taxes or interest charges for which the Awardee is and shall remain solely responsible.</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0"/>
        </w:rPr>
        <w:t>10.</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grant date noted herein (the “Forfeiture Date”), then this Award shall become null and void and all Stock Units subject to this Award shall be forfeited by the Awardee as of the Forfeiture Date. For acceptance to be valid, the Awardee must accept this Award in the manner specified by the Company. Any Shares underlying the Stock Units covered by this Award that are forfeited by the Awardee shall be returned to the Plan and resume the status of shares available for grant.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11.</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0"/>
        <w:ind w:left="0" w:right="0" w:firstLine="720"/>
        <w:jc w:val="left"/>
        <w:rPr/>
      </w:pPr>
      <w:r>
        <w:rPr/>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 xml:space="preserve">Exhibit A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Performance Conditions for FY__ Performance Unit Awards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(To be Updated Annually)</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050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050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C0504D"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005CAB"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005CAB"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005CAB"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005CAB"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FFFFFF"/>
              <w:left w:val="single" w:sz="8" w:space="0" w:color="FFFFFF"/>
              <w:right w:val="single" w:sz="8" w:space="0" w:color="FFFFFF"/>
            </w:tcBorders>
            <w:shd w:fill="CBD2E2"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E7EAF1"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E7EAF1"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E7EAF1"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E7EAF1"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CBD2E2"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bottom w:val="single" w:sz="8" w:space="0" w:color="FFFFFF"/>
            </w:tcBorders>
            <w:shd w:fill="76923C"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E7EAF1"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E7EAF1"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E7EAF1" w:val="clear"/>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bottom w:val="single" w:sz="8" w:space="0" w:color="FFFFFF"/>
              <w:right w:val="single" w:sz="8" w:space="0" w:color="FFFFFF"/>
            </w:tcBorders>
            <w:shd w:fill="E7EAF1"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The Awards are governed by the Plan and this Award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Arial;sans-serif" w:hAnsi="Arial;sans-serif"/>
          <w:b/>
          <w:color w:val="000000"/>
          <w:sz w:val="20"/>
        </w:rPr>
      </w:pPr>
      <w:r>
        <w:rPr>
          <w:rFonts w:ascii="Arial;sans-serif" w:hAnsi="Arial;sans-serif"/>
          <w:b/>
          <w:color w:val="000000"/>
          <w:sz w:val="20"/>
        </w:rPr>
        <w:t>EXHIBIT 10.70</w:t>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CASH SETTLED PERFORMANCE UNIT AWARD</w: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20"/>
          <w:u w:val="single"/>
        </w:rPr>
      </w:pPr>
      <w:r>
        <w:rPr>
          <w:rFonts w:ascii="Arial;sans-serif" w:hAnsi="Arial;sans-serif"/>
          <w:b/>
          <w:color w:val="000000"/>
          <w:sz w:val="20"/>
          <w:u w:val="single"/>
        </w:rPr>
        <w:t>FOR CHINA-BASED EMPLOYEES</w:t>
      </w:r>
    </w:p>
    <w:p>
      <w:pPr>
        <w:pStyle w:val="TextBody"/>
        <w:bidi w:val="0"/>
        <w:spacing w:lineRule="auto" w:line="333" w:before="0" w:after="0"/>
        <w:jc w:val="center"/>
        <w:rPr/>
      </w:pPr>
      <w:r>
        <w:rPr>
          <w:rFonts w:ascii="Arial;sans-serif" w:hAnsi="Arial;sans-serif"/>
          <w:b/>
          <w:color w:val="000000"/>
          <w:sz w:val="20"/>
        </w:rPr>
        <w:t xml:space="preserve">Award Date: </w:t>
      </w:r>
      <w:r>
        <w:rPr>
          <w:rFonts w:ascii="Arial;sans-serif" w:hAnsi="Arial;sans-serif"/>
          <w:b w:val="false"/>
          <w:color w:val="000000"/>
          <w:sz w:val="20"/>
          <w:u w:val="single"/>
        </w:rPr>
        <w:t>________________</w:t>
      </w:r>
    </w:p>
    <w:p>
      <w:pPr>
        <w:pStyle w:val="TextBody"/>
        <w:bidi w:val="0"/>
        <w:spacing w:before="0" w:after="0"/>
        <w:jc w:val="center"/>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Kennametal Inc. (the “Company”) hereby awards to «name» (the “Awardee”), as of the Award Date listed above, this Cash Settled Performance Unit Award (the “Award”) for «number of target units» Award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before="0" w:after="0"/>
        <w:ind w:left="0" w:right="0" w:firstLine="720"/>
        <w:jc w:val="both"/>
        <w:rPr/>
      </w:pPr>
      <w:r>
        <w:rPr/>
      </w:r>
    </w:p>
    <w:p>
      <w:pPr>
        <w:pStyle w:val="TextBody"/>
        <w:bidi w:val="0"/>
        <w:spacing w:lineRule="auto" w:line="288" w:before="120" w:after="283"/>
        <w:jc w:val="both"/>
        <w:rPr/>
      </w:pPr>
      <w:r>
        <w:rPr>
          <w:rFonts w:ascii="Arial;sans-serif" w:hAnsi="Arial;sans-serif"/>
          <w:b w:val="false"/>
          <w:color w:val="000000"/>
          <w:sz w:val="20"/>
        </w:rPr>
        <w:t>1.</w:t>
      </w:r>
      <w:r>
        <w:rPr>
          <w:rFonts w:ascii="Arial;sans-serif" w:hAnsi="Arial;sans-serif"/>
          <w:b w:val="false"/>
          <w:color w:val="000000"/>
          <w:sz w:val="20"/>
        </w:rPr>
        <w:t xml:space="preserve">Notwithstanding any provisions of the Plan, each Award Unit represents the right to receive a cash payment from the Company (or an Affiliate or Subsidiary thereof, as applicable) equal to the Fair Market Value of one Share of the Company’s Capital Stock (“Company Stock”), par value $1.25 per share, subject to the satisfaction of the Service Condition described herein and the Performance Conditions attached hereto as </w:t>
      </w:r>
      <w:r>
        <w:rPr>
          <w:rFonts w:ascii="Arial;sans-serif" w:hAnsi="Arial;sans-serif"/>
          <w:b/>
          <w:color w:val="000000"/>
          <w:sz w:val="20"/>
          <w:u w:val="single"/>
        </w:rPr>
        <w:t>Exhibit A</w:t>
      </w:r>
      <w:r>
        <w:rPr>
          <w:rFonts w:ascii="Arial;sans-serif" w:hAnsi="Arial;sans-serif"/>
          <w:b w:val="false"/>
          <w:color w:val="000000"/>
          <w:sz w:val="20"/>
        </w:rPr>
        <w:t xml:space="preserve">. Award Units as initially awarded have no independent economic value, but rather are mere units of measurement used for purposes of calculating the number of Award Units to be used in determining the amount of the cash payment, if any, to be made under the Award. The maximum number of Award Units that may be earned under this Award is equal to 2.0 times the target number of Award Units listed in the preamble above. All vested Award Units are paid in cash to the Awardee and in no circumstance is Company Stock awarded to the Awardee.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2.</w:t>
      </w:r>
      <w:r>
        <w:rPr>
          <w:rFonts w:ascii="Arial;sans-serif" w:hAnsi="Arial;sans-serif"/>
          <w:b w:val="false"/>
          <w:color w:val="000000"/>
          <w:sz w:val="20"/>
        </w:rPr>
        <w:t xml:space="preserve">Except as otherwise provided in this Award, Awardee must be actively employed by the Company on the Payment Date (defined below) to be eligible to receive cash in payment of any Award Units earned under this Award (the “Service Condition”).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3.</w:t>
      </w:r>
      <w:r>
        <w:rPr>
          <w:rFonts w:ascii="Arial;sans-serif" w:hAnsi="Arial;sans-serif"/>
          <w:b w:val="false"/>
          <w:color w:val="000000"/>
          <w:sz w:val="20"/>
        </w:rPr>
        <w:t xml:space="preserve">In addition to satisfaction of the Service Condition, payment under this Award is subject to, and contingent upon, achievement of the annual Performance Conditions during the Performance Period specified on </w:t>
      </w:r>
      <w:r>
        <w:rPr>
          <w:rFonts w:ascii="Arial;sans-serif" w:hAnsi="Arial;sans-serif"/>
          <w:b/>
          <w:color w:val="000000"/>
          <w:sz w:val="20"/>
          <w:u w:val="single"/>
        </w:rPr>
        <w:t>Exhibit A</w:t>
      </w:r>
      <w:r>
        <w:rPr>
          <w:rFonts w:ascii="Arial;sans-serif" w:hAnsi="Arial;sans-serif"/>
          <w:b w:val="false"/>
          <w:color w:val="000000"/>
          <w:sz w:val="20"/>
        </w:rPr>
        <w:t xml:space="preserve">. The amount of this Award payable to Awardee will be determined by the level of achievement of the annual Performance Conditions as set forth in </w:t>
      </w:r>
      <w:r>
        <w:rPr>
          <w:rFonts w:ascii="Arial;sans-serif" w:hAnsi="Arial;sans-serif"/>
          <w:b/>
          <w:color w:val="000000"/>
          <w:sz w:val="20"/>
          <w:u w:val="single"/>
        </w:rPr>
        <w:t>Exhibit A</w:t>
      </w:r>
      <w:r>
        <w:rPr>
          <w:rFonts w:ascii="Arial;sans-serif" w:hAnsi="Arial;sans-serif"/>
          <w:b w:val="false"/>
          <w:color w:val="000000"/>
          <w:sz w:val="20"/>
        </w:rPr>
        <w:t>. Achievement of the Performance Conditions, including the level of achievement, if any, for each fiscal year in the Performance Period shall be determined by the Compensation Committee of the Board of Directors (the “Compensation Committee”), in its sole discretion, and Awardee agrees to be bound by such determination; provided, however, the Compensation Committee shall not use its discretionary authority reserved to it under Section 6(f) of the Plan to reduce the number of Award Units earned, if any, based on the achievement of the Performance Conditions pursuant to the terms and conditions of this Award. For each fiscal year of the Performance Period, any Award Units that are not earned will be cancelled and forfeited at the end of such fiscal year.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4.</w:t>
      </w:r>
      <w:r>
        <w:rPr>
          <w:rFonts w:ascii="Arial;sans-serif" w:hAnsi="Arial;sans-serif"/>
          <w:b w:val="false"/>
          <w:color w:val="000000"/>
          <w:sz w:val="20"/>
        </w:rPr>
        <w:t>Performance Determination and Payment.</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At the end of each fiscal year of the Performance Period to which this Award relates, the Compensation Committee will certify in writing the extent to which the applicable annual Performance Conditions have been achieved. For purposes of this provision, the approved minutes of the Committee meeting in which the certification is made may be treated as written certification.</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    Subject to the terms and conditions of this Award and unless otherwise specifically provided herein, Award Units earned by an Awardee will be settled and paid in cash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righ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0"/>
        </w:rPr>
        <w:t>as soon as practicable following the end of the three-year Performance Period on a date determined in the Company’s discretion, but in no event later than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the third month following the last day of the fiscal year in which the Performance Period ends (the “Payment Date”), subject to the Awardee’s satisfaction of all applicable income and employment withholding taxes. For the avoidance of doubt, in the People’s Republic of China, the Company, per se, will not make such cash payment to the Awardee, instead, the Chinese local subsidiary of the Company will, using its own RMB funds, make such cash payment in RMB equal to the Fair Market Value at the current foreign exchange rate to the Awardee on the Payment Date.</w:t>
      </w:r>
    </w:p>
    <w:p>
      <w:pPr>
        <w:pStyle w:val="TextBody"/>
        <w:bidi w:val="0"/>
        <w:spacing w:before="0" w:after="0"/>
        <w:jc w:val="left"/>
        <w:rPr/>
      </w:pPr>
      <w:r>
        <w:rPr/>
      </w:r>
    </w:p>
    <w:p>
      <w:pPr>
        <w:pStyle w:val="TextBody"/>
        <w:bidi w:val="0"/>
        <w:spacing w:lineRule="auto" w:line="288" w:before="0" w:after="240"/>
        <w:jc w:val="left"/>
        <w:rPr/>
      </w:pPr>
      <w:r>
        <w:rPr>
          <w:rFonts w:ascii="Arial;sans-serif" w:hAnsi="Arial;sans-serif"/>
          <w:b w:val="false"/>
          <w:color w:val="000000"/>
          <w:sz w:val="20"/>
        </w:rPr>
        <w:t>5.</w:t>
      </w:r>
      <w:r>
        <w:rPr>
          <w:rFonts w:ascii="Arial;sans-serif" w:hAnsi="Arial;sans-serif"/>
          <w:b w:val="false"/>
          <w:color w:val="000000"/>
          <w:sz w:val="20"/>
        </w:rPr>
        <w:t>Change in Awardee’s Status; Change in Control.</w:t>
      </w:r>
    </w:p>
    <w:p>
      <w:pPr>
        <w:pStyle w:val="TextBody"/>
        <w:bidi w:val="0"/>
        <w:spacing w:lineRule="auto" w:line="288" w:before="120" w:after="120"/>
        <w:ind w:left="0" w:right="0" w:firstLine="720"/>
        <w:jc w:val="both"/>
        <w:rPr/>
      </w:pPr>
      <w:r>
        <w:rPr>
          <w:rFonts w:ascii="Arial;sans-serif" w:hAnsi="Arial;sans-serif"/>
          <w:b w:val="false"/>
          <w:color w:val="000000"/>
          <w:sz w:val="20"/>
        </w:rPr>
        <w:t>a.    </w:t>
      </w:r>
      <w:r>
        <w:rPr>
          <w:rFonts w:ascii="Arial;sans-serif" w:hAnsi="Arial;sans-serif"/>
          <w:b w:val="false"/>
          <w:color w:val="000000"/>
          <w:sz w:val="20"/>
          <w:u w:val="single"/>
        </w:rPr>
        <w:t>Death or Disability</w:t>
      </w:r>
      <w:r>
        <w:rPr>
          <w:rFonts w:ascii="Arial;sans-serif" w:hAnsi="Arial;sans-serif"/>
          <w:b w:val="false"/>
          <w:color w:val="000000"/>
          <w:sz w:val="20"/>
        </w:rPr>
        <w:t xml:space="preserve">. In the event an Awardee Separates from Service before the Payment Date on account of death or Disability, the Service Condition will be waived. For completed fiscal years, Awardee shall be entitled to receive cash payment for any Award Units that have been earned based on the achievement of the Performance Conditions applicable to such fiscal year. For fiscal years not completed, the Performance Conditions will be deemed to have been achieved at the target level and the Awardee will be deemed to have earned for each such fiscal year a number of Award Units that were able to be earned for such fiscal year. </w:t>
      </w:r>
    </w:p>
    <w:p>
      <w:pPr>
        <w:pStyle w:val="TextBody"/>
        <w:bidi w:val="0"/>
        <w:spacing w:lineRule="auto" w:line="288" w:before="0" w:after="240"/>
        <w:ind w:left="0" w:right="0" w:firstLine="720"/>
        <w:jc w:val="both"/>
        <w:rPr/>
      </w:pPr>
      <w:r>
        <w:rPr>
          <w:rFonts w:ascii="Arial;sans-serif" w:hAnsi="Arial;sans-serif"/>
          <w:b w:val="false"/>
          <w:color w:val="000000"/>
          <w:sz w:val="20"/>
        </w:rPr>
        <w:t>Subject to the terms and conditions of this Award and unless otherwise specifically provided herein, in the event an Awardee Separates from Service on account of death or Disability, the Award Units, to the extent earned by the Awardee, shall be paid in cash as soon as practicable following the date of such Separation from Service, but in no event later than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the third month following the last day of the fiscal year in which the Separation from Service occurs. </w:t>
      </w:r>
    </w:p>
    <w:p>
      <w:pPr>
        <w:pStyle w:val="TextBody"/>
        <w:bidi w:val="0"/>
        <w:spacing w:lineRule="auto" w:line="288" w:before="0" w:after="240"/>
        <w:ind w:left="0" w:right="0" w:firstLine="720"/>
        <w:jc w:val="both"/>
        <w:rPr/>
      </w:pPr>
      <w:r>
        <w:rPr>
          <w:rFonts w:ascii="Arial;sans-serif" w:hAnsi="Arial;sans-serif"/>
          <w:b w:val="false"/>
          <w:color w:val="000000"/>
          <w:sz w:val="20"/>
        </w:rPr>
        <w:t>b.    </w:t>
      </w:r>
      <w:r>
        <w:rPr>
          <w:rFonts w:ascii="Arial;sans-serif" w:hAnsi="Arial;sans-serif"/>
          <w:b w:val="false"/>
          <w:color w:val="000000"/>
          <w:sz w:val="20"/>
          <w:u w:val="single"/>
        </w:rPr>
        <w:t>Change in Control</w:t>
      </w:r>
      <w:r>
        <w:rPr>
          <w:rFonts w:ascii="Arial;sans-serif" w:hAnsi="Arial;sans-serif"/>
          <w:b w:val="false"/>
          <w:color w:val="000000"/>
          <w:sz w:val="20"/>
        </w:rPr>
        <w:t>. In the event there is a Change in Control during the Performance Period, (i) with respect to all outstanding Award Units subject to this Award (other than Award Units for fiscal years within the Performance Period that were completed prior to the Change in Control), the target level of performance set forth with respect to each performance criterion under such Award Units shall be deemed to have been attained (or, if higher, the actual level of performance achieved) and such Award Units shall be converted into, and remain outstanding, as Restricted Units and (ii) with respect to Award Units for fiscal years within the Performance Period that were completed prior to the Change in Control, such Award Units, measured at actual performance achieved, shall remain outstanding. Unless otherwise specifically provided herein, payment under this Award will remain subject to the satisfaction of the Service Condition.</w:t>
      </w:r>
    </w:p>
    <w:p>
      <w:pPr>
        <w:pStyle w:val="TextBody"/>
        <w:bidi w:val="0"/>
        <w:spacing w:lineRule="auto" w:line="288" w:before="240" w:after="240"/>
        <w:ind w:left="0" w:right="0" w:firstLine="720"/>
        <w:jc w:val="both"/>
        <w:rPr/>
      </w:pPr>
      <w:r>
        <w:rPr>
          <w:rFonts w:ascii="Arial;sans-serif" w:hAnsi="Arial;sans-serif"/>
          <w:b w:val="false"/>
          <w:color w:val="000000"/>
          <w:sz w:val="20"/>
        </w:rPr>
        <w:t>c.    </w:t>
      </w:r>
      <w:r>
        <w:rPr>
          <w:rFonts w:ascii="Arial;sans-serif" w:hAnsi="Arial;sans-serif"/>
          <w:b w:val="false"/>
          <w:color w:val="000000"/>
          <w:sz w:val="20"/>
          <w:u w:val="single"/>
        </w:rPr>
        <w:t>Change in Control Separation</w:t>
      </w:r>
      <w:r>
        <w:rPr>
          <w:rFonts w:ascii="Arial;sans-serif" w:hAnsi="Arial;sans-serif"/>
          <w:b w:val="false"/>
          <w:color w:val="000000"/>
          <w:sz w:val="20"/>
        </w:rPr>
        <w:t>. In the event an Awardee Separates from Service prior to the Payment Date on account of an involuntary termination by the Company without cause or Awardee voluntarily terminates employment for Good Reason (as defined in the Plan) (a) within the six-month period immediately preceding a Change in Control in contemplation of such Change in Control (and the Change in Control actually occurs) or (b) during the two-year period following a Change in Control (a “Change in Control Separation”), the Service Condition applicable to the Award Units and/or Restricted Units into which such Award Units were converted upon the Change in Control will be waived and such Award Units and/or Restricted Units shall be fully vested and nonforfeitable. Upon such Separation from Service, the Award Units, to the extent earned by the Awardee, shall be paid in cash as soon as practicable following the date of such Separation from Service, but in no event later than the 15th day of the third month following the last day of the fiscal year in which the Separation from Service occurs.</w:t>
      </w:r>
    </w:p>
    <w:p>
      <w:pPr>
        <w:pStyle w:val="TextBody"/>
        <w:bidi w:val="0"/>
        <w:spacing w:lineRule="auto" w:line="288" w:before="0" w:after="240"/>
        <w:ind w:left="0" w:right="0" w:firstLine="720"/>
        <w:jc w:val="both"/>
        <w:rPr/>
      </w:pPr>
      <w:r>
        <w:rPr>
          <w:rFonts w:ascii="Arial;sans-serif" w:hAnsi="Arial;sans-serif"/>
          <w:b w:val="false"/>
          <w:color w:val="000000"/>
          <w:sz w:val="20"/>
        </w:rPr>
        <w:t>d.    </w:t>
      </w:r>
      <w:r>
        <w:rPr>
          <w:rFonts w:ascii="Arial;sans-serif" w:hAnsi="Arial;sans-serif"/>
          <w:b w:val="false"/>
          <w:color w:val="000000"/>
          <w:sz w:val="20"/>
          <w:u w:val="single"/>
        </w:rPr>
        <w:t>Retirement</w:t>
      </w:r>
      <w:r>
        <w:rPr>
          <w:rFonts w:ascii="Arial;sans-serif" w:hAnsi="Arial;sans-serif"/>
          <w:b w:val="false"/>
          <w:color w:val="000000"/>
          <w:sz w:val="20"/>
        </w:rPr>
        <w:t xml:space="preserve">. In the event a Retirement Eligible Awardee (as defined below) Separates from Service on account of Retirement (including Early Retirement) during the Performance Period, the Service Condition will be waived (i) in the case of Retirement other than Early Retirement, on all outstanding Award Units or (ii) in the case of Early Retirement, on a pro-rata portion of such Award Units based upon the ratio of the number of days of the Awardee’s employment during the Performance Period to the total number of days in the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Period, and the remainder of such Award Units shall immediately terminate and be forfeited without payment by the Company or any affiliate. The amount to be paid, if any, with respect to the Award Units on which the Service Condition was waived will be determined following the end of the Performance Period based upon the actual achievement of the Performance Condition over the Performance Period.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With respect to an Awardee who Separates from Service on account of Retirement during the Performance Period (a “Retirement Eligible Awardee”), any payment for any Award shall be made on the Payment Date provided in Section 4(b), above. Notwithstanding the foregoing or any provisions of this Award or the Plan to the contrary, for a U.S. participant who is a “specified employee” under Section 409A of the Internal Revenue Code of 1986, as amended (the “Code”) upon Separation from Service due to Retirement (including Early Retirement), Disability or a Change in Control Separation, the payment, if any, for this Award will be delayed and delivered on the first day following the six (6) month anniversary of the Awardee’s Separation from Service (or upon earlier death) if and to the extent such payments would constitute or be considered as deferred compensation under Code Section 409A, subject to the Awardee’s satisfaction of all applicable income and employment withholding taxes.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0"/>
        </w:rPr>
        <w:t>e.    </w:t>
      </w:r>
      <w:r>
        <w:rPr>
          <w:rFonts w:ascii="Arial;sans-serif" w:hAnsi="Arial;sans-serif"/>
          <w:b w:val="false"/>
          <w:color w:val="000000"/>
          <w:sz w:val="20"/>
          <w:u w:val="single"/>
        </w:rPr>
        <w:t>All Other Separations from Service</w:t>
      </w:r>
      <w:r>
        <w:rPr>
          <w:rFonts w:ascii="Arial;sans-serif" w:hAnsi="Arial;sans-serif"/>
          <w:b w:val="false"/>
          <w:color w:val="000000"/>
          <w:sz w:val="20"/>
        </w:rPr>
        <w:t>. In the event an Awardee Separates from Service for any other reason (other than death, Disability, Retirement or Change in Control Separation), including, but not limited to, voluntarily by the Awardee, or involuntarily by the Company with or without cause, prior to the Payment Date, all Award Units granted to the Awardee shall be cancelled and forfeited, whether payable or not, without payment by the Company or any Affiliate.</w:t>
      </w:r>
    </w:p>
    <w:p>
      <w:pPr>
        <w:pStyle w:val="TextBody"/>
        <w:bidi w:val="0"/>
        <w:spacing w:before="0" w:after="0"/>
        <w:ind w:left="0" w:right="0" w:firstLine="720"/>
        <w:jc w:val="both"/>
        <w:rPr/>
      </w:pPr>
      <w:r>
        <w:rPr/>
      </w:r>
    </w:p>
    <w:p>
      <w:pPr>
        <w:pStyle w:val="TextBody"/>
        <w:bidi w:val="0"/>
        <w:spacing w:lineRule="auto" w:line="288" w:before="0" w:after="120"/>
        <w:jc w:val="both"/>
        <w:rPr/>
      </w:pPr>
      <w:r>
        <w:rPr>
          <w:rFonts w:ascii="Arial;sans-serif" w:hAnsi="Arial;sans-serif"/>
          <w:b w:val="false"/>
          <w:color w:val="000000"/>
          <w:sz w:val="20"/>
        </w:rPr>
        <w:t>6.</w:t>
      </w:r>
      <w:r>
        <w:rPr>
          <w:rFonts w:ascii="Arial;sans-serif" w:hAnsi="Arial;sans-serif"/>
          <w:b w:val="false"/>
          <w:color w:val="000000"/>
          <w:sz w:val="20"/>
        </w:rPr>
        <w:t>The Awardee shall have only the Company's unfunded, unsecured promise to pay pursuant to the terms of this Award. The rights of the Awardee hereunder shall be that of an unsecured general creditor of the Company, and the Awardee shall not have any security interest in any assets of the Company (or an Affiliate or Subsidiary thereof). The Awardee shall not have any rights of ownership in Company Stock, including, but not limited to, the right to vote or accrue dividends on Company Stock.</w:t>
      </w:r>
    </w:p>
    <w:p>
      <w:pPr>
        <w:pStyle w:val="TextBody"/>
        <w:bidi w:val="0"/>
        <w:spacing w:lineRule="auto" w:line="288" w:before="120" w:after="120"/>
        <w:jc w:val="both"/>
        <w:rPr/>
      </w:pPr>
      <w:r>
        <w:rPr>
          <w:rFonts w:ascii="Arial;sans-serif" w:hAnsi="Arial;sans-serif"/>
          <w:b w:val="false"/>
          <w:color w:val="000000"/>
          <w:sz w:val="20"/>
        </w:rPr>
        <w:t>7.</w:t>
      </w:r>
      <w:r>
        <w:rPr>
          <w:rFonts w:ascii="Arial;sans-serif" w:hAnsi="Arial;sans-serif"/>
          <w:b w:val="false"/>
          <w:color w:val="000000"/>
          <w:sz w:val="20"/>
        </w:rPr>
        <w:t>The Award Units may not be sold, assigned, pledged, exchanged, hypothecated, gifted or otherwise transferred, encumbered or disposed of prior to the Payment Date, except as described herein or in the Plan (the “Forfeiture Restrictions”). The Forfeiture Restrictions will be binding upon, and enforceable against, any permitted transferee of the Award Units.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8.</w:t>
      </w:r>
      <w:r>
        <w:rPr>
          <w:rFonts w:ascii="Arial;sans-serif" w:hAnsi="Arial;sans-serif"/>
          <w:b w:val="false"/>
          <w:color w:val="000000"/>
          <w:sz w:val="20"/>
        </w:rPr>
        <w:t>For U.S. Participants, this Performance Unit Award is intended to comply with Section 409A of the Internal Revenue Code (which deals with nonqualified deferred compensation) or an exception thereto and the regulations promulgated thereunder and will be construed accordingly. To the extent a payment is subject to Section 409A and not excepted therefrom, such payment shall be treated as made on the specified date of payment if such payment is made at such date or a later date in the same calendar year or, if later, by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the third calendar month following the specified date of payment, as provided and in accordance with Treas. Reg. § 1.409A-3(d). An Awardee shall have no right to designate the date of any payment under this Award. The Company reserves the right to administer, amend or modify the Award or to take any other action necessary or desirable to enable the Award to be interpreted and construed accordingly. Notwithstanding the foregoing, the Awardee acknowledges and agrees that Section 409A may impose upon the Awardee certain taxes or interest charges for which the Awardee is and shall remain solely responsible.</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0"/>
        </w:rPr>
        <w:t>9.</w:t>
      </w:r>
      <w:r>
        <w:rPr>
          <w:rFonts w:ascii="Arial;sans-serif" w:hAnsi="Arial;sans-serif"/>
          <w:b w:val="false"/>
          <w:color w:val="000000"/>
          <w:sz w:val="20"/>
        </w:rPr>
        <w:t xml:space="preserve">Notwithstanding anything to the contrary in this Award or the Plan, in the event that this Award is not accepted by the Awardee on or before the date that is 180 days from the grant date noted herein (the “Forfeiture Date”), then this Award shall become null and void and all Award Units subject to this Award shall be forfeited by the Awardee as of the Forfeiture Date. For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acceptance to be valid, the Awardee must accept this Award in the manner specified by the Company.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10.</w:t>
      </w:r>
      <w:r>
        <w:rPr>
          <w:rFonts w:ascii="Arial;sans-serif" w:hAnsi="Arial;sans-serif"/>
          <w:b w:val="false"/>
          <w:color w:val="000000"/>
          <w:sz w:val="20"/>
        </w:rPr>
        <w:t>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 xml:space="preserve">Exhibit A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[To Be Updated Annually]</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Performance Conditions for FY2_ Performance Unit Awards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050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050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C0504D"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005CAB"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005CAB"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005CAB"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005CAB"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FFFFFF"/>
              <w:left w:val="single" w:sz="8" w:space="0" w:color="FFFFFF"/>
              <w:right w:val="single" w:sz="8" w:space="0" w:color="FFFFFF"/>
            </w:tcBorders>
            <w:shd w:fill="CBD2E2"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E7EAF1"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E7EAF1"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E7EAF1"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E7EAF1"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tcBorders>
            <w:shd w:fill="76923C"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shd w:fill="CBD2E2" w:val="clear"/>
            <w:tcMar>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right w:val="single" w:sz="8" w:space="0" w:color="FFFFFF"/>
            </w:tcBorders>
            <w:shd w:fill="CBD2E2" w:val="clear"/>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FFFFFF"/>
              <w:left w:val="single" w:sz="8" w:space="0" w:color="FFFFFF"/>
              <w:bottom w:val="single" w:sz="8" w:space="0" w:color="FFFFFF"/>
            </w:tcBorders>
            <w:shd w:fill="76923C"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E7EAF1"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E7EAF1"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E7EAF1" w:val="clear"/>
            <w:tcMar>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FFFFFF"/>
              <w:left w:val="single" w:sz="8" w:space="0" w:color="FFFFFF"/>
              <w:bottom w:val="single" w:sz="8" w:space="0" w:color="FFFFFF"/>
              <w:right w:val="single" w:sz="8" w:space="0" w:color="FFFFFF"/>
            </w:tcBorders>
            <w:shd w:fill="E7EAF1"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Awards are governed by the Plan and this Award agreement.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10.71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KENNAMETAL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RESTRICTED UNIT AWARD</w:t>
      </w:r>
    </w:p>
    <w:p>
      <w:pPr>
        <w:pStyle w:val="TextBody"/>
        <w:bidi w:val="0"/>
        <w:spacing w:before="0" w:after="0"/>
        <w:jc w:val="center"/>
        <w:rPr/>
      </w:pPr>
      <w:r>
        <w:rPr/>
      </w:r>
    </w:p>
    <w:p>
      <w:pPr>
        <w:pStyle w:val="TextBody"/>
        <w:bidi w:val="0"/>
        <w:spacing w:lineRule="auto" w:line="288" w:before="0" w:after="240"/>
        <w:jc w:val="center"/>
        <w:rPr/>
      </w:pPr>
      <w:r>
        <w:rPr>
          <w:rFonts w:ascii="Arial;sans-serif" w:hAnsi="Arial;sans-serif"/>
          <w:b/>
          <w:color w:val="000000"/>
          <w:sz w:val="20"/>
        </w:rPr>
        <w:t xml:space="preserve">Grant Date: </w:t>
      </w:r>
      <w:r>
        <w:rPr>
          <w:rFonts w:ascii="Arial;sans-serif" w:hAnsi="Arial;sans-serif"/>
          <w:b w:val="false"/>
          <w:color w:val="000000"/>
          <w:sz w:val="20"/>
        </w:rPr>
        <w:t>____________________</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Kennametal Inc. (the “Company”) hereby grants to «name» (the “Awardee”), as of the Grant Date listed above, this Restricted Unit Award (the “Award”) for «number of stock units» Stock Units, subject to the terms and conditions of the Kennametal Inc. 2024 Stock and Incentive Plan (the “Plan”) and the additional terms listed below. Capitalized terms used herein, but not otherwise defined, shall have the same meaning ascribed to them in the Plan.</w:t>
      </w:r>
    </w:p>
    <w:p>
      <w:pPr>
        <w:pStyle w:val="TextBody"/>
        <w:bidi w:val="0"/>
        <w:spacing w:lineRule="auto" w:line="240" w:before="120" w:after="120"/>
        <w:jc w:val="both"/>
        <w:rPr/>
      </w:pPr>
      <w:r>
        <w:rPr>
          <w:rFonts w:ascii="Arial;sans-serif" w:hAnsi="Arial;sans-serif"/>
          <w:b w:val="false"/>
          <w:color w:val="000000"/>
          <w:sz w:val="20"/>
        </w:rPr>
        <w:t>1.</w:t>
      </w:r>
      <w:r>
        <w:rPr>
          <w:rFonts w:ascii="Arial;sans-serif" w:hAnsi="Arial;sans-serif"/>
          <w:b w:val="false"/>
          <w:color w:val="000000"/>
          <w:sz w:val="20"/>
        </w:rPr>
        <w:t>Each Stock Unit represents the right to receive one Share of the Company’s Capital Stock, par value $1.25 per share, subject to the Forfeiture Restrictions (defined below). Notwithstanding, Stock Units as initially awarded have no independent economic value, but rather are mere units of measurement used for the purpose of calculating the number of Shares, if any, to be delivered under the Award.</w:t>
      </w:r>
    </w:p>
    <w:p>
      <w:pPr>
        <w:pStyle w:val="TextBody"/>
        <w:bidi w:val="0"/>
        <w:spacing w:lineRule="auto" w:line="240" w:before="120" w:after="120"/>
        <w:jc w:val="both"/>
        <w:rPr/>
      </w:pPr>
      <w:r>
        <w:rPr>
          <w:rFonts w:ascii="Arial;sans-serif" w:hAnsi="Arial;sans-serif"/>
          <w:b w:val="false"/>
          <w:color w:val="000000"/>
          <w:sz w:val="20"/>
        </w:rPr>
        <w:t>2.</w:t>
      </w:r>
      <w:r>
        <w:rPr>
          <w:rFonts w:ascii="Arial;sans-serif" w:hAnsi="Arial;sans-serif"/>
          <w:b w:val="false"/>
          <w:color w:val="000000"/>
          <w:sz w:val="20"/>
        </w:rPr>
        <w:t xml:space="preserve">The prohibition against transfer and the obligation to forfeit and surrender the Stock Units to the Company are herein referred to as “Forfeiture Restrictions.” The Stock Units may not be sold, assigned, pledged, exchanged, hypothecated, gifted or otherwise transferred, encumbered or disposed of, except as described in the Plan, to the extent then subject to the Forfeiture Restrictions. The Forfeiture Restrictions will be binding upon, and enforceable against, any permitted transferee of the Stock Units. </w:t>
      </w:r>
    </w:p>
    <w:p>
      <w:pPr>
        <w:pStyle w:val="TextBody"/>
        <w:bidi w:val="0"/>
        <w:spacing w:lineRule="auto" w:line="240" w:before="120" w:after="120"/>
        <w:jc w:val="both"/>
        <w:rPr/>
      </w:pPr>
      <w:r>
        <w:rPr>
          <w:rFonts w:ascii="Arial;sans-serif" w:hAnsi="Arial;sans-serif"/>
          <w:b w:val="false"/>
          <w:color w:val="000000"/>
          <w:sz w:val="20"/>
        </w:rPr>
        <w:t>3.</w:t>
      </w:r>
      <w:r>
        <w:rPr>
          <w:rFonts w:ascii="Arial;sans-serif" w:hAnsi="Arial;sans-serif"/>
          <w:b w:val="false"/>
          <w:color w:val="000000"/>
          <w:sz w:val="20"/>
        </w:rPr>
        <w:t xml:space="preserve">Provided that the Awardee does not Separate from Service and maintains Continuous Status as an Employee from the Grant Date through the lapse date, the Forfeiture Restrictions will lapse as to 100% of the Stock Units on the first anniversary of the Grant Date. </w:t>
      </w:r>
    </w:p>
    <w:p>
      <w:pPr>
        <w:pStyle w:val="TextBody"/>
        <w:bidi w:val="0"/>
        <w:spacing w:lineRule="auto" w:line="240" w:before="0" w:after="120"/>
        <w:jc w:val="both"/>
        <w:rPr/>
      </w:pPr>
      <w:r>
        <w:rPr>
          <w:rFonts w:ascii="Arial;sans-serif" w:hAnsi="Arial;sans-serif"/>
          <w:b w:val="false"/>
          <w:color w:val="000000"/>
          <w:sz w:val="20"/>
        </w:rPr>
        <w:t>4.</w:t>
      </w:r>
      <w:r>
        <w:rPr>
          <w:rFonts w:ascii="Arial;sans-serif" w:hAnsi="Arial;sans-serif"/>
          <w:b w:val="false"/>
          <w:color w:val="000000"/>
          <w:sz w:val="20"/>
        </w:rPr>
        <w:t xml:space="preserve">The Stock Units, to the extent then subject to the Forfeiture Restrictions, will be forfeited to the Company upon Separation from Service for any reason </w:t>
      </w:r>
      <w:r>
        <w:rPr>
          <w:rFonts w:ascii="Arial;sans-serif" w:hAnsi="Arial;sans-serif"/>
          <w:b w:val="false"/>
          <w:i/>
          <w:color w:val="000000"/>
          <w:sz w:val="20"/>
        </w:rPr>
        <w:t xml:space="preserve">other than </w:t>
      </w:r>
      <w:r>
        <w:rPr>
          <w:rFonts w:ascii="Arial;sans-serif" w:hAnsi="Arial;sans-serif"/>
          <w:b w:val="false"/>
          <w:color w:val="000000"/>
          <w:sz w:val="20"/>
        </w:rPr>
        <w:t xml:space="preserve">death, Disability, Retirement (including Early Retirement), or involuntary termination by the Company without cause or voluntary termination by the Awardee for Good Reason (a) within the six-month period immediately preceding a Change in Control in contemplation of such Change in Control (and the Change in Control actually occurs) or (b) during the two-year period following a Change in Control (a " Change in Control Separation"). In the event that the Awardee Separates from Service as a result of death, Disability, Retirement (including Early Retirement) or a Change in Control Separation, the vesting and/or forfeiture of the Stock Units shall be determined as provided in the Plan. </w:t>
      </w:r>
    </w:p>
    <w:p>
      <w:pPr>
        <w:pStyle w:val="TextBody"/>
        <w:bidi w:val="0"/>
        <w:spacing w:lineRule="auto" w:line="240" w:before="120" w:after="120"/>
        <w:jc w:val="both"/>
        <w:rPr/>
      </w:pPr>
      <w:r>
        <w:rPr>
          <w:rFonts w:ascii="Arial;sans-serif" w:hAnsi="Arial;sans-serif"/>
          <w:b w:val="false"/>
          <w:color w:val="000000"/>
          <w:sz w:val="20"/>
        </w:rPr>
        <w:t>5.</w:t>
      </w:r>
      <w:r>
        <w:rPr>
          <w:rFonts w:ascii="Arial;sans-serif" w:hAnsi="Arial;sans-serif"/>
          <w:b w:val="false"/>
          <w:color w:val="000000"/>
          <w:sz w:val="20"/>
        </w:rPr>
        <w:t xml:space="preserve">Except as otherwise provided herein, the shares of Company Capital Stock (the “Shares”) underlying Stock Units which are no longer subject to Forfeiture Restrictions shall be issued to the Awardee on the lapse date (or as soon as reasonably practicable thereafter but in no event later than the last day of the “applicable 2½ month period” specified in Treas. Reg. §1.409A-1(b)(4)), subject to the Awardee’s satisfaction of all applicable income and employment withholding taxes, unless deferred pursuant to the terms of a Company deferred compensation plan. Notwithstanding the foregoing or any provisions of this Award or the Plan to the contrary, for a U.S. participant who is a “specified employee” under Section 409A of the Internal Revenue Code of 1986, as amended (the “Code”) upon Separation from Service due to Retirement (including Early Retirement), Disability or a Change in Control Separation, the delivery of any Shares underlying this Award will be delayed and delivered on the first day following the six (6) month anniversary of the Awardee’s Separation from Service (or upon earlier death) if and to the extent such payments would constitute or be considered as deferred compensation under Code Section 409A, subject to the Awardee’s satisfaction of all applicable income and employment withholding taxes. </w:t>
      </w:r>
    </w:p>
    <w:p>
      <w:pPr>
        <w:pStyle w:val="TextBody"/>
        <w:bidi w:val="0"/>
        <w:spacing w:lineRule="auto" w:line="240" w:before="120" w:after="120"/>
        <w:jc w:val="both"/>
        <w:rPr/>
      </w:pPr>
      <w:r>
        <w:rPr>
          <w:rFonts w:ascii="Arial;sans-serif" w:hAnsi="Arial;sans-serif"/>
          <w:b w:val="false"/>
          <w:color w:val="000000"/>
          <w:sz w:val="20"/>
        </w:rPr>
        <w:t>6.</w:t>
      </w:r>
      <w:r>
        <w:rPr>
          <w:rFonts w:ascii="Arial;sans-serif" w:hAnsi="Arial;sans-serif"/>
          <w:b w:val="false"/>
          <w:color w:val="000000"/>
          <w:sz w:val="20"/>
        </w:rPr>
        <w:t xml:space="preserve">The Stock Units will be entitled to receive Dividend Equivalents, which will be subject to all conditions and restrictions applicable to the underlying Stock Units to which they relate, and which may not be paid until and unless the underlying Stock Units have vested. Dividend Equivalents will accrue prior to the issuance of Shares with respect to the Stock Units or their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120"/>
        <w:jc w:val="both"/>
        <w:rPr>
          <w:rFonts w:ascii="Arial;sans-serif" w:hAnsi="Arial;sans-serif"/>
          <w:b w:val="false"/>
          <w:color w:val="000000"/>
          <w:sz w:val="20"/>
        </w:rPr>
      </w:pPr>
      <w:r>
        <w:rPr>
          <w:rFonts w:ascii="Arial;sans-serif" w:hAnsi="Arial;sans-serif"/>
          <w:b w:val="false"/>
          <w:color w:val="000000"/>
          <w:sz w:val="20"/>
        </w:rPr>
        <w:t>earlier forfeiture. Dividend Equivalents will be earned only for Stock Units that are earned or deemed earned under this Award for the applicable period. With respect to Stock Units that are not earned (because the applicable Forfeiture Restrictions do not lapse or otherwise), Dividend Equivalents that were accrued for those Stock Units will be cancelled and forfeited along with the Stock Units and underlying Shares, without payment therefor by the Company or any Affiliate. Dividend Equivalents will be paid in cash at such time as the underlying Stock Units to which they relate are paid.</w:t>
      </w:r>
    </w:p>
    <w:p>
      <w:pPr>
        <w:pStyle w:val="TextBody"/>
        <w:bidi w:val="0"/>
        <w:spacing w:lineRule="auto" w:line="240" w:before="120" w:after="120"/>
        <w:jc w:val="both"/>
        <w:rPr/>
      </w:pPr>
      <w:r>
        <w:rPr>
          <w:rFonts w:ascii="Arial;sans-serif" w:hAnsi="Arial;sans-serif"/>
          <w:b w:val="false"/>
          <w:color w:val="000000"/>
          <w:sz w:val="20"/>
        </w:rPr>
        <w:t>7.</w:t>
      </w:r>
      <w:r>
        <w:rPr>
          <w:rFonts w:ascii="Arial;sans-serif" w:hAnsi="Arial;sans-serif"/>
          <w:b w:val="false"/>
          <w:color w:val="000000"/>
          <w:sz w:val="20"/>
        </w:rPr>
        <w:t>The Shares underlying Stock Units shall not be sold or otherwise disposed of in any manner that would constitute a violation of any applicable federal or state securities laws. The Company may refuse to register a transfer of the Shares on the stock transfer records of the Company if the transfer constitutes a violation of any applicable securities law and the Company may give related instructions to its transfer agent, if any, to stop registration of the transfer of the Shares.</w:t>
      </w:r>
    </w:p>
    <w:p>
      <w:pPr>
        <w:pStyle w:val="TextBody"/>
        <w:bidi w:val="0"/>
        <w:spacing w:lineRule="auto" w:line="240" w:before="120" w:after="120"/>
        <w:jc w:val="both"/>
        <w:rPr/>
      </w:pPr>
      <w:r>
        <w:rPr>
          <w:rFonts w:ascii="Arial;sans-serif" w:hAnsi="Arial;sans-serif"/>
          <w:b w:val="false"/>
          <w:color w:val="000000"/>
          <w:sz w:val="20"/>
        </w:rPr>
        <w:t>8.</w:t>
      </w:r>
      <w:r>
        <w:rPr>
          <w:rFonts w:ascii="Arial;sans-serif" w:hAnsi="Arial;sans-serif"/>
          <w:b w:val="false"/>
          <w:color w:val="000000"/>
          <w:sz w:val="20"/>
        </w:rPr>
        <w:t xml:space="preserve">This Restricted Unit Award is intended to comply with Section 409A of the Internal Revenue Code (which deals with nonqualified deferred compensation) or an exception thereto and the regulations promulgated thereunder and will be construed accordingly. To the extent a payment is subject to Section 409A and not excepted therefrom, such payment shall be treated as made on the specified date of payment if such payment is made at such date or a later date in the same calendar year or, if later, by the 15th day of the third calendar month following the specified date of payment, as provided and in accordance with Treas. Reg. § 1.409A-3(d). An Awardee shall have no right to designate the date of any payment under this Award. The Company reserves the right to administer, amend or modify the Award or to take any other action necessary or desirable to enable the Award to be interpreted and construed accordingly. Notwithstanding the foregoing, the Awardee acknowledges and agrees that Section 409A may impose upon the Awardee certain taxes or interest charges for which the Awardee is and shall remain solely responsible.. </w:t>
      </w:r>
    </w:p>
    <w:p>
      <w:pPr>
        <w:pStyle w:val="TextBody"/>
        <w:bidi w:val="0"/>
        <w:spacing w:lineRule="auto" w:line="240" w:before="120" w:after="120"/>
        <w:jc w:val="both"/>
        <w:rPr/>
      </w:pPr>
      <w:r>
        <w:rPr>
          <w:rFonts w:ascii="Arial;sans-serif" w:hAnsi="Arial;sans-serif"/>
          <w:b w:val="false"/>
          <w:color w:val="000000"/>
          <w:sz w:val="20"/>
        </w:rPr>
        <w:t>9.</w:t>
      </w:r>
      <w:r>
        <w:rPr>
          <w:rFonts w:ascii="Arial;sans-serif" w:hAnsi="Arial;sans-serif"/>
          <w:b w:val="false"/>
          <w:color w:val="000000"/>
          <w:sz w:val="20"/>
        </w:rPr>
        <w:t>Notwithstanding anything to the contrary in this Award or the Plan, in the event that this Award is not accepted by the Awardee on or before the date that is 180 days from the grant date noted herein (the “Forfeiture Date”), then this Award shall become null and void and all Stock Units subject to this Award shall be forfeited by the Awardee as of the Forfeiture Date. For acceptance to be valid, the Awardee must accept this Award in the manner specified by the Company. Any Shares underlying the Stock Units covered by this Award that are forfeited by the Awardee shall be returned to the Plan and resume the status of shares available for grant.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    All other terms and conditions applicable to this Award are contained in the Plan. A copy of the Plan and related Prospectus is available on your accounts page at netbenefits.fidelity.com under Plan Information and Documents, as well as on The Hub under Human Resources.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KENNAMETAL INC.</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By:     Michelle R. Keating</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Title:     Vice President, Secretary and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Arial;sans-serif" w:hAnsi="Arial;sans-serif"/>
          <w:b/>
          <w:color w:val="000000"/>
          <w:sz w:val="22"/>
        </w:rPr>
      </w:pPr>
      <w:r>
        <w:rPr>
          <w:rFonts w:ascii="Arial;sans-serif" w:hAnsi="Arial;sans-serif"/>
          <w:b/>
          <w:color w:val="000000"/>
          <w:sz w:val="22"/>
        </w:rPr>
        <w:t>Exhibit 19.1</w:t>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The Need for an Insider Trading Policy</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During your work for Kennametal Inc. or one of its businesses (“Kennametal” or the “Company”), you may have access to highly sensitive and confidential information concerning Kennametal, or other companies with which Kennametal does business. To the extent that this information could have significant financial implications for Kennametal or those other companies, it may affect the trading price of securities of Kennametal or those other companies, which would be considered “material nonpublic information”</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Federal securities laws prohibit the purchase or sale of securities if you are aware of material nonpublic information and prohibit the disclosure of material nonpublic information to others who subsequently trade in such securities (called “tipping”). Insider trading violations are pursued vigorously by the Securities and Exchange Commission (the “SEC”) and the Department of Justice and are punished severely. The federal securities laws also impose potential liability on companies and other "controlling persons" if they fail to take reasonable steps to prevent insider trading by company personnel.</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Kennametal Inc. has adopted this Insider Trading Policy (sometimes referred to here as the “Policy”) to satisfy Kennametal's obligation to prevent insider trading and to help its personnel avoid severe consequences associated with violations of the insider trading laws. The Policy is also intended to prevent even the appearance of improper conduct on the part of anyone employed by or associated with Kennametal (not just so-called insiders).</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Scope</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This Policy applies to all members of the Board of Directors (“Board Members”), Executive Officers, Corporate Officers and employees of Kennametal and its subsidiaries. Other persons, such as contractors or consultants, who have access to material nonpublic information are also expected to abide by the Policy. In addition, this Policy applies to family members, other members of a person’s household and entities controlled by a person covered by this Policy, as described below. Definitions not otherwise provided below are set forth on Appendix A of this Policy.</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Personal Responsibility</w:t>
      </w:r>
    </w:p>
    <w:p>
      <w:pPr>
        <w:pStyle w:val="TextBody"/>
        <w:bidi w:val="0"/>
        <w:spacing w:lineRule="auto" w:line="288" w:before="120" w:after="283"/>
        <w:jc w:val="left"/>
        <w:rPr/>
      </w:pPr>
      <w:r>
        <w:rPr>
          <w:rFonts w:ascii="Times New Roman;serif" w:hAnsi="Times New Roman;serif"/>
          <w:b w:val="false"/>
          <w:color w:val="000000"/>
          <w:sz w:val="24"/>
        </w:rPr>
        <w:t xml:space="preserve">While Kennametal has adopted this Policy, </w:t>
      </w:r>
      <w:r>
        <w:rPr>
          <w:rFonts w:ascii="Times New Roman;serif" w:hAnsi="Times New Roman;serif"/>
          <w:b w:val="false"/>
          <w:color w:val="000000"/>
          <w:sz w:val="24"/>
          <w:u w:val="single"/>
        </w:rPr>
        <w:t>you</w:t>
      </w:r>
      <w:r>
        <w:rPr>
          <w:color w:val="000000"/>
        </w:rPr>
        <w:t xml:space="preserve"> </w:t>
      </w:r>
      <w:r>
        <w:rPr>
          <w:rFonts w:ascii="Times New Roman;serif" w:hAnsi="Times New Roman;serif"/>
          <w:b w:val="false"/>
          <w:color w:val="000000"/>
          <w:sz w:val="24"/>
        </w:rPr>
        <w:t>are ultimately responsible for any violation of the securities laws that you (or your family members) commit, including trading while in possession of material nonpublic information, regardless of whether you are a “Covered Person” as defined on Appendix A. Any action or pre-approval of Kennametal or any employee, under this Policy or otherwise, does not constitute legal advice or insulate you from liability under applicable securities laws.</w:t>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108" name="Frame1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The Consequences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The consequences of an insider trading violation can be severe:</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Traders and Tippers.</w:t>
      </w:r>
      <w:r>
        <w:rPr>
          <w:color w:val="000000"/>
        </w:rPr>
        <w:t xml:space="preserve"> </w:t>
      </w:r>
      <w:r>
        <w:rPr>
          <w:rFonts w:ascii="Times New Roman;serif" w:hAnsi="Times New Roman;serif"/>
          <w:b w:val="false"/>
          <w:color w:val="000000"/>
          <w:sz w:val="24"/>
        </w:rPr>
        <w:t>Anyone who is subject to this Policy, or their tippees, who trade on inside information are subject to the penalties as set forth below. This includes anyone who tips inside information to a person who then trades, as the provider of the insider information is subject to the same penalties as the tippee, even if the information provider did not trade and did not profit from the tippee’s trading.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civil penalty of up to three times the profit gained or loss avoided;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criminal fine of up to $5 million (no matter how small the profit);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jail term of up to twenty years.</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Controlling Persons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The Federal securities laws also impose potential liability on companies and other “controlling persons” if they fail to take reasonable steps to prevent insider trading by company personnel. If Kennametal fails to take appropriate steps to prevent illegal insider trading, it could have liability for trading violations and be subject to the following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Civil fines of up to the greater of (i) three times the profit gained or loss avoided and (ii) $1 million,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Criminal fines of up to $25 million.</w:t>
      </w:r>
    </w:p>
    <w:p>
      <w:pPr>
        <w:pStyle w:val="TextBody"/>
        <w:bidi w:val="0"/>
        <w:spacing w:lineRule="auto" w:line="288" w:before="120" w:after="283"/>
        <w:ind w:left="0" w:right="0" w:firstLine="840"/>
        <w:jc w:val="left"/>
        <w:rPr>
          <w:rFonts w:ascii="Times New Roman;serif" w:hAnsi="Times New Roman;serif"/>
          <w:b w:val="false"/>
          <w:color w:val="000000"/>
          <w:sz w:val="24"/>
        </w:rPr>
      </w:pPr>
      <w:r>
        <w:rPr>
          <w:rFonts w:ascii="Times New Roman;serif" w:hAnsi="Times New Roman;serif"/>
          <w:b w:val="false"/>
          <w:color w:val="000000"/>
          <w:sz w:val="24"/>
        </w:rPr>
        <w:t>Kennametal’s Board Members, Executive Officers, Corporate Officers and other supervisory personnel are generally considered to be “controlling persons” and could also be personally liable for civil penalties if they fail to take appropriate steps to prevent illegal insider trading.</w:t>
      </w:r>
    </w:p>
    <w:p>
      <w:pPr>
        <w:pStyle w:val="TextBody"/>
        <w:bidi w:val="0"/>
        <w:spacing w:lineRule="auto" w:line="288" w:before="120" w:after="283"/>
        <w:ind w:left="0" w:right="0" w:firstLine="720"/>
        <w:jc w:val="both"/>
        <w:rPr/>
      </w:pPr>
      <w:r>
        <w:rPr>
          <w:rFonts w:ascii="Times New Roman;serif" w:hAnsi="Times New Roman;serif"/>
          <w:b w:val="false"/>
          <w:i/>
          <w:color w:val="000000"/>
          <w:sz w:val="24"/>
          <w:u w:val="single"/>
        </w:rPr>
        <w:t>Company-Imposed Sanctions</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An employee's failure to comply with this Policy may subject the employee to disciplinary action, up to and including termination of employment, whether or not the employee's failure to comply results in a violation of law.</w:t>
      </w:r>
    </w:p>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67665"/>
                <wp:effectExtent l="0" t="0" r="0" b="0"/>
                <wp:wrapNone/>
                <wp:docPr id="109" name="Frame1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Statement of Policy</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No Board Member, Executive Officer, Corporate Officer or employee of Kennametal who is aware of material nonpublic information relating to Kennametal may, directly or through family members or other persons or entities, (a) buy or sell securities of Kennametal (other than pursuant to a pre-approved trading plan that complies with SEC Rule 10b5-1), or engage in any other action to take personal advantage of that information or (b) pass that information on to related persons, friends or any other third person outside of Kennametal, or to persons inside the Company whose jobs do not require them to have that information. In addition, no Board Member, Executive Officer, Corporate Officer or employee of Kennametal who, in the course of working for Kennametal, learns of material nonpublic information about another company with which Kennametal does business, including a customer or supplier of Kennametal, may, directly or through family members or other persons or entities, (i) trade in that company’s securities or engage in any other action to take personal advantage of that information or (ii) pass that information on to related persons, friends or any other third person outside of Kennametal, or to persons inside the Company whose jobs do not require them to have that information, until the information becomes public or is no longer material.</w:t>
      </w:r>
    </w:p>
    <w:p>
      <w:pPr>
        <w:pStyle w:val="TextBody"/>
        <w:bidi w:val="0"/>
        <w:spacing w:lineRule="auto" w:line="288" w:before="120" w:after="283"/>
        <w:jc w:val="left"/>
        <w:rPr/>
      </w:pPr>
      <w:r>
        <w:rPr>
          <w:rFonts w:ascii="Times New Roman;serif" w:hAnsi="Times New Roman;serif"/>
          <w:b w:val="false"/>
          <w:color w:val="000000"/>
          <w:sz w:val="24"/>
        </w:rPr>
        <w:t>In addition, all Board Members, Executive Officers and Corporate Officers must “pre-clear” all trading in Kennametal securities in accordance with the procedures described below in “</w:t>
      </w:r>
      <w:r>
        <w:rPr>
          <w:rFonts w:ascii="Times New Roman;serif" w:hAnsi="Times New Roman;serif"/>
          <w:b w:val="false"/>
          <w:color w:val="000000"/>
          <w:sz w:val="24"/>
          <w:u w:val="single"/>
        </w:rPr>
        <w:t>Pre-clearance Notification and Approval.</w:t>
      </w:r>
      <w:r>
        <w:rPr>
          <w:color w:val="000000"/>
        </w:rPr>
        <w:t>”</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Transactions that may be necessary or justifiable for independent reasons (such as the need to raise money for an emergency expenditure), or small transactions, are not excepted from the Policy. The securities laws do not recognize such mitigating circumstances and, in any event,</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even the appearance of an improper transaction must be avoided to preserve Kennametal's reputation for adhering to the highest standards of conduct.</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What is “Material” Information?</w:t>
      </w:r>
      <w:r>
        <w:rPr>
          <w:color w:val="000000"/>
        </w:rPr>
        <w:t xml:space="preserve"> </w:t>
      </w:r>
      <w:r>
        <w:rPr>
          <w:rFonts w:ascii="Times New Roman;serif" w:hAnsi="Times New Roman;serif"/>
          <w:b w:val="false"/>
          <w:color w:val="000000"/>
          <w:sz w:val="24"/>
        </w:rPr>
        <w:t>Material information is any information that a reasonable investor would consider important in making a decision to trade in Kennametal securities. Any information that could be expected to affect Kennametal’s stock price, whether it is positive or negative, should be considered material. Some examples of information that are typically regarded as material 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Projections of future earnings or losses, or other earnings guidance;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Earnings information, including reports that are inconsistent with the consensus expectations of the investment community;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change in debt ratings;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pending or proposed merger, acquisition, exchange or tender offer, divestiture, recapitalization, strategic alliance or licensing arrangement;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pending or proposed acquisition or disposition of a significant asset;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change in dividend rates or earnings, the declaration of a stock split, calls for redemption, or an offering of additional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 change in management;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Development of a significant new product or process;</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7665"/>
                <wp:effectExtent l="0" t="0" r="0" b="0"/>
                <wp:wrapNone/>
                <wp:docPr id="110" name="Frame1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Impending bankruptcy or the existence of severe liquidity problems;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Developments regarding significant litigation or government agency investigations;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Extraordinary borrowings;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The gain or loss of a significant customer or supplier;</w:t>
      </w:r>
    </w:p>
    <w:p>
      <w:pPr>
        <w:pStyle w:val="TextBody"/>
        <w:bidi w:val="0"/>
        <w:spacing w:lineRule="auto" w:line="288" w:before="120" w:after="283"/>
        <w:ind w:left="0" w:right="0" w:hanging="359"/>
        <w:jc w:val="left"/>
        <w:rPr/>
      </w:pPr>
      <w:r>
        <w:rPr>
          <w:color w:val="000000"/>
        </w:rPr>
        <w:t>•</w:t>
      </w:r>
      <w:r>
        <w:rPr>
          <w:rFonts w:ascii="Times New Roman;serif" w:hAnsi="Times New Roman;serif"/>
          <w:b w:val="false"/>
          <w:color w:val="000000"/>
          <w:sz w:val="24"/>
        </w:rPr>
        <w:t>Information regarding significant corporate strategic matters;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Significant cybersecurity risks and incidents.</w:t>
      </w:r>
    </w:p>
    <w:p>
      <w:pPr>
        <w:pStyle w:val="TextBody"/>
        <w:bidi w:val="0"/>
        <w:spacing w:lineRule="auto" w:line="288" w:before="120" w:after="283"/>
        <w:ind w:left="0" w:right="0" w:firstLine="840"/>
        <w:jc w:val="left"/>
        <w:rPr/>
      </w:pPr>
      <w:r>
        <w:rPr>
          <w:rFonts w:ascii="Times New Roman;serif" w:hAnsi="Times New Roman;serif"/>
          <w:b w:val="false"/>
          <w:i/>
          <w:color w:val="000000"/>
          <w:sz w:val="24"/>
          <w:u w:val="single"/>
        </w:rPr>
        <w:t>When Information is "Public".</w:t>
      </w:r>
      <w:r>
        <w:rPr>
          <w:color w:val="000000"/>
        </w:rPr>
        <w:t xml:space="preserve"> </w:t>
      </w:r>
      <w:r>
        <w:rPr>
          <w:rFonts w:ascii="Times New Roman;serif" w:hAnsi="Times New Roman;serif"/>
          <w:b w:val="false"/>
          <w:color w:val="000000"/>
          <w:sz w:val="24"/>
        </w:rPr>
        <w:t xml:space="preserve">Information generally becomes available to the public after it has been broadly disclosed by Kennametal or third parties in a press release or other similar public statement, including any filing with the SEC. Once the information is widely disseminated in the marketplace, it is still necessary to allow sufficient time for the investing public to fully absorb the information. As a rule, information should not be considered fully absorbed by the marketplace until </w:t>
      </w:r>
      <w:r>
        <w:rPr>
          <w:rFonts w:ascii="Times New Roman;serif" w:hAnsi="Times New Roman;serif"/>
          <w:b/>
          <w:color w:val="000000"/>
          <w:sz w:val="24"/>
        </w:rPr>
        <w:t xml:space="preserve">24 hours after </w:t>
      </w:r>
      <w:r>
        <w:rPr>
          <w:rFonts w:ascii="Times New Roman;serif" w:hAnsi="Times New Roman;serif"/>
          <w:b w:val="false"/>
          <w:color w:val="000000"/>
          <w:sz w:val="24"/>
        </w:rPr>
        <w:t>the information is released. If, for example, Kennametal were to make a public announcement on a Monday at 9:00 a.m., you should not trade in Kennametal's securities until Tuesday after 9:00 a.m. Depending on the circumstances, Kennametal may determine that a longer period should apply to the release of specific material nonpublic information.</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Transactions by Family Members.</w:t>
      </w:r>
      <w:r>
        <w:rPr>
          <w:color w:val="000000"/>
        </w:rPr>
        <w:t xml:space="preserve"> </w:t>
      </w:r>
      <w:r>
        <w:rPr>
          <w:rFonts w:ascii="Times New Roman;serif" w:hAnsi="Times New Roman;serif"/>
          <w:b w:val="false"/>
          <w:color w:val="000000"/>
          <w:sz w:val="24"/>
        </w:rPr>
        <w:t>This Policy also applies to your family members who reside with you, anyone else who lives in your household, and any family members who do not live in your household but whose transactions in Kennametal securities are directed by you or are subject to your influence or control (such as parents or children who consult with you before they trade in such securities). You are responsible for the transactions of these other persons and therefore should make them aware of the need to confer with you before they trade in Kennametal's securities.</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Twenty-Twenty Hindsight.</w:t>
      </w:r>
      <w:r>
        <w:rPr>
          <w:color w:val="000000"/>
        </w:rPr>
        <w:t xml:space="preserve"> </w:t>
      </w:r>
      <w:r>
        <w:rPr>
          <w:rFonts w:ascii="Times New Roman;serif" w:hAnsi="Times New Roman;serif"/>
          <w:b w:val="false"/>
          <w:color w:val="000000"/>
          <w:sz w:val="24"/>
        </w:rPr>
        <w:t>Remember, anyone scrutinizing your or your family member’s transactions will be doing so after the fact, with the benefit of hindsight. As a practical matter, before engaging in any transaction, you should carefully consider how enforcement authorities and others might view the transaction in hindsight.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 xml:space="preserve">Additional Restrictions Applicable to Covered Persons </w:t>
      </w:r>
    </w:p>
    <w:p>
      <w:pPr>
        <w:pStyle w:val="TextBody"/>
        <w:bidi w:val="0"/>
        <w:spacing w:lineRule="auto" w:line="288" w:before="120" w:after="283"/>
        <w:jc w:val="left"/>
        <w:rPr/>
      </w:pPr>
      <w:r>
        <w:rPr>
          <w:rFonts w:ascii="Times New Roman;serif" w:hAnsi="Times New Roman;serif"/>
          <w:b w:val="false"/>
          <w:color w:val="000000"/>
          <w:sz w:val="24"/>
        </w:rPr>
        <w:t>In addition to the requirements of this Policy, Covered Persons (defined on Appendix A) are subject to additional restrictions set forth below in “</w:t>
      </w:r>
      <w:r>
        <w:rPr>
          <w:rFonts w:ascii="Times New Roman;serif" w:hAnsi="Times New Roman;serif"/>
          <w:b w:val="false"/>
          <w:i/>
          <w:color w:val="000000"/>
          <w:sz w:val="24"/>
          <w:u w:val="single"/>
        </w:rPr>
        <w:t>Blackout Periods and Trading Windows</w:t>
      </w:r>
      <w:r>
        <w:rPr>
          <w:rFonts w:ascii="Times New Roman;serif" w:hAnsi="Times New Roman;serif"/>
          <w:b w:val="false"/>
          <w:color w:val="000000"/>
          <w:sz w:val="24"/>
          <w:u w:val="single"/>
        </w:rPr>
        <w:t>.</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Blackout Periods and Trading Windows.</w:t>
      </w:r>
      <w:r>
        <w:rPr>
          <w:color w:val="000000"/>
        </w:rPr>
        <w:t xml:space="preserve"> </w:t>
      </w:r>
      <w:r>
        <w:rPr>
          <w:rFonts w:ascii="Times New Roman;serif" w:hAnsi="Times New Roman;serif"/>
          <w:b w:val="false"/>
          <w:color w:val="000000"/>
          <w:sz w:val="24"/>
        </w:rPr>
        <w:t>Kennametal maintains regular quarterly blackout periods for trading in Kennametal securities. Covered Persons and their family members are prohibited from trading in Kennametal securities during blackout periods (except where specifically authorized by this Policy.) Also, these are periods during which the Office of the General Counsel will not pre-approve or pre-clear requests for trading. Regular blackout periods begin on the day that is 15 days prior to each quarter end and remain in effect until 24 hours after the earnings release is publicly disclosed. During these periods, Covered Persons generally possess or are presumed to possess material nonpublic information about Kennametal’s financial results.</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67665"/>
                <wp:effectExtent l="0" t="0" r="0" b="0"/>
                <wp:wrapNone/>
                <wp:docPr id="111" name="Frame1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Kennametal may occasionally impose special blackout periods for Covered Persons and others when circumstances arise that justify doing so. If you receive a notice from the Office of the General Counsel informing you of a blackout period, you may not trade in Kennametal securities until you have been notified that the blackout period has been lifted.</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Kennametal has established specific trading windows (described below) during which Covered Persons, absent unusual events, or the imposition of a special blackout period, are less likely to be in possession of material, nonpublic information about Kennametal. The trading windows are preceded by Kennametal’s public issuance of its quarterly or annual earnings release.</w:t>
      </w:r>
    </w:p>
    <w:p>
      <w:pPr>
        <w:pStyle w:val="TextBody"/>
        <w:bidi w:val="0"/>
        <w:spacing w:before="120" w:after="1"/>
        <w:jc w:val="left"/>
        <w:rPr/>
      </w:pPr>
      <w:r>
        <w:rPr/>
      </w:r>
    </w:p>
    <w:tbl>
      <w:tblPr>
        <w:tblW w:w="10205" w:type="dxa"/>
        <w:jc w:val="left"/>
        <w:tblInd w:w="0" w:type="dxa"/>
        <w:tblLayout w:type="fixed"/>
        <w:tblCellMar>
          <w:top w:w="28" w:type="dxa"/>
          <w:left w:w="28" w:type="dxa"/>
          <w:bottom w:w="28" w:type="dxa"/>
          <w:right w:w="28" w:type="dxa"/>
        </w:tblCellMar>
      </w:tblPr>
      <w:tblGrid>
        <w:gridCol w:w="681"/>
        <w:gridCol w:w="590"/>
        <w:gridCol w:w="597"/>
        <w:gridCol w:w="972"/>
        <w:gridCol w:w="873"/>
        <w:gridCol w:w="875"/>
        <w:gridCol w:w="709"/>
        <w:gridCol w:w="664"/>
        <w:gridCol w:w="666"/>
        <w:gridCol w:w="608"/>
        <w:gridCol w:w="608"/>
        <w:gridCol w:w="610"/>
        <w:gridCol w:w="568"/>
        <w:gridCol w:w="487"/>
        <w:gridCol w:w="697"/>
      </w:tblGrid>
      <w:tr>
        <w:trPr/>
        <w:tc>
          <w:tcPr>
            <w:tcW w:w="6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8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Period</w:t>
            </w:r>
          </w:p>
        </w:tc>
        <w:tc>
          <w:tcPr>
            <w:tcW w:w="27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Blackout Period Begins</w:t>
            </w:r>
          </w:p>
        </w:tc>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Earnings Release</w:t>
            </w:r>
          </w:p>
        </w:tc>
        <w:tc>
          <w:tcPr>
            <w:tcW w:w="1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Trading Window Opens</w:t>
            </w:r>
          </w:p>
        </w:tc>
        <w:tc>
          <w:tcPr>
            <w:tcW w:w="1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Trading Window Closes</w:t>
            </w:r>
          </w:p>
        </w:tc>
      </w:tr>
      <w:tr>
        <w:trPr/>
        <w:tc>
          <w:tcPr>
            <w:tcW w:w="18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First Quarter (July 1 –Sept. 30)</w:t>
            </w:r>
          </w:p>
        </w:tc>
        <w:tc>
          <w:tcPr>
            <w:tcW w:w="27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 days prior to First Quarter end (September 16)</w:t>
            </w:r>
          </w:p>
        </w:tc>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First week of November (Tuesday)</w:t>
            </w:r>
          </w:p>
        </w:tc>
        <w:tc>
          <w:tcPr>
            <w:tcW w:w="1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 hours after Earnings Release</w:t>
            </w:r>
          </w:p>
        </w:tc>
        <w:tc>
          <w:tcPr>
            <w:tcW w:w="1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December 15</w:t>
            </w:r>
          </w:p>
        </w:tc>
      </w:tr>
      <w:tr>
        <w:trPr/>
        <w:tc>
          <w:tcPr>
            <w:tcW w:w="18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Second Quarter (Oct. 1 – Dec. 31)</w:t>
            </w:r>
          </w:p>
        </w:tc>
        <w:tc>
          <w:tcPr>
            <w:tcW w:w="27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 days prior to Second Quarter end (December 16)</w:t>
            </w:r>
          </w:p>
        </w:tc>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First week of February (Tuesday)</w:t>
            </w:r>
          </w:p>
        </w:tc>
        <w:tc>
          <w:tcPr>
            <w:tcW w:w="1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 hours after Earnings Release</w:t>
            </w:r>
          </w:p>
        </w:tc>
        <w:tc>
          <w:tcPr>
            <w:tcW w:w="1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March 15</w:t>
            </w:r>
          </w:p>
        </w:tc>
      </w:tr>
      <w:tr>
        <w:trPr/>
        <w:tc>
          <w:tcPr>
            <w:tcW w:w="186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Third Quarter (Jan. 1 –Mar. 31)</w:t>
            </w:r>
          </w:p>
        </w:tc>
        <w:tc>
          <w:tcPr>
            <w:tcW w:w="27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 days prior to Third Quarter end (March 16)</w:t>
            </w:r>
          </w:p>
        </w:tc>
        <w:tc>
          <w:tcPr>
            <w:tcW w:w="20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First week of May (Tuesday)</w:t>
            </w:r>
          </w:p>
        </w:tc>
        <w:tc>
          <w:tcPr>
            <w:tcW w:w="1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 hours after Earnings Release</w:t>
            </w:r>
          </w:p>
        </w:tc>
        <w:tc>
          <w:tcPr>
            <w:tcW w:w="175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June 15</w:t>
            </w:r>
          </w:p>
        </w:tc>
      </w:tr>
      <w:tr>
        <w:trPr/>
        <w:tc>
          <w:tcPr>
            <w:tcW w:w="186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Annual Release</w:t>
            </w:r>
          </w:p>
        </w:tc>
        <w:tc>
          <w:tcPr>
            <w:tcW w:w="27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15 days prior to Fourth Quarter end (June 16)</w:t>
            </w:r>
          </w:p>
        </w:tc>
        <w:tc>
          <w:tcPr>
            <w:tcW w:w="20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First week of August (Tuesday)</w:t>
            </w:r>
          </w:p>
        </w:tc>
        <w:tc>
          <w:tcPr>
            <w:tcW w:w="1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24 hours after Earnings Release</w:t>
            </w:r>
          </w:p>
        </w:tc>
        <w:tc>
          <w:tcPr>
            <w:tcW w:w="175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September 15</w:t>
            </w:r>
          </w:p>
        </w:tc>
      </w:tr>
    </w:tbl>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7665"/>
                <wp:effectExtent l="0" t="0" r="0" b="0"/>
                <wp:wrapNone/>
                <wp:docPr id="112" name="Frame1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Covered Persons are generally permitted to trade in Kennametal securities during a trading window provided, however, that no person may ever trade in Kennametal securities if such person is in possession of material, nonpublic information regarding Kennametal, regardless of whether a trading window is open or a blackout period is in effect. In addition, Kennametal may close any trading window if a special blackout period is imposed and will re-open the trading window once the special blackout period has ended.</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Pre-clearance Notification and Approval.</w:t>
      </w:r>
      <w:r>
        <w:rPr>
          <w:color w:val="000000"/>
        </w:rPr>
        <w:t xml:space="preserve"> </w:t>
      </w:r>
      <w:r>
        <w:rPr>
          <w:rFonts w:ascii="Times New Roman;serif" w:hAnsi="Times New Roman;serif"/>
          <w:b w:val="false"/>
          <w:i/>
          <w:color w:val="000000"/>
          <w:sz w:val="24"/>
        </w:rPr>
        <w:t xml:space="preserve">For Board Members, Executive Officers and Corporate Officers </w:t>
      </w:r>
      <w:r>
        <w:rPr>
          <w:rFonts w:ascii="Times New Roman;serif" w:hAnsi="Times New Roman;serif"/>
          <w:b w:val="false"/>
          <w:color w:val="000000"/>
          <w:sz w:val="24"/>
        </w:rPr>
        <w:t xml:space="preserve">(defined on Appendix A). Each Executive Officer of Kennametal must request pre-approval by the CEO, the General Counsel, and if applicable, the ELT member to whom he or she reports (or in the case of a Board Member, pre-clearance by the General Counsel), of </w:t>
      </w:r>
      <w:r>
        <w:rPr>
          <w:rFonts w:ascii="Times New Roman;serif" w:hAnsi="Times New Roman;serif"/>
          <w:b w:val="false"/>
          <w:color w:val="000000"/>
          <w:sz w:val="24"/>
          <w:u w:val="single"/>
        </w:rPr>
        <w:t>any</w:t>
      </w:r>
      <w:r>
        <w:rPr>
          <w:color w:val="000000"/>
        </w:rPr>
        <w:t xml:space="preserve"> </w:t>
      </w:r>
      <w:r>
        <w:rPr>
          <w:rFonts w:ascii="Times New Roman;serif" w:hAnsi="Times New Roman;serif"/>
          <w:b w:val="false"/>
          <w:color w:val="000000"/>
          <w:sz w:val="24"/>
        </w:rPr>
        <w:t>proposed transaction (including gifts or donations) involving Kennametal securities prior to initiating such transaction (even during an open trading window). These procedures also apply to transactions by family members. The CEO and the General Counsel must pre-approve and pre-clear all transactions in Kennametal securities by an Executive Officer. The General Counsel must pre-approve and pre-clear all transactions in Kennametal securities by a Board Member. The request for pre-approval and pre-clearance must be in writing and must note the type of transaction, the number or amount of securities involved, and the effect the proposed transaction will have on the stock ownership guidelines applicable to the Officer or Board Member making the request. From time to time, additional pre-clearance measures may also be set forth in separate communications to Board Members and Executive Officers.</w:t>
      </w:r>
    </w:p>
    <w:p>
      <w:pPr>
        <w:pStyle w:val="TextBody"/>
        <w:bidi w:val="0"/>
        <w:spacing w:lineRule="auto" w:line="288" w:before="120" w:after="283"/>
        <w:ind w:left="0" w:right="0" w:firstLine="720"/>
        <w:jc w:val="left"/>
        <w:rPr/>
      </w:pPr>
      <w:r>
        <w:rPr>
          <w:rFonts w:ascii="Times New Roman;serif" w:hAnsi="Times New Roman;serif"/>
          <w:b w:val="false"/>
          <w:color w:val="000000"/>
          <w:sz w:val="24"/>
        </w:rPr>
        <w:t xml:space="preserve">Any Corporate Officer of Kennametal must request pre-approval by the ELT member to whom he or she reports and the General Counsel of </w:t>
      </w:r>
      <w:r>
        <w:rPr>
          <w:rFonts w:ascii="Times New Roman;serif" w:hAnsi="Times New Roman;serif"/>
          <w:b w:val="false"/>
          <w:color w:val="000000"/>
          <w:sz w:val="24"/>
          <w:u w:val="single"/>
        </w:rPr>
        <w:t>any</w:t>
      </w:r>
      <w:r>
        <w:rPr>
          <w:color w:val="000000"/>
        </w:rPr>
        <w:t xml:space="preserve"> </w:t>
      </w:r>
      <w:r>
        <w:rPr>
          <w:rFonts w:ascii="Times New Roman;serif" w:hAnsi="Times New Roman;serif"/>
          <w:b w:val="false"/>
          <w:color w:val="000000"/>
          <w:sz w:val="24"/>
        </w:rPr>
        <w:t>proposed transaction (including gifts or donations) involving Kennametal securities prior to initiating such transaction (even during a trading window). These procedures also apply to transactions by family members. The ELT member and the General Counsel must pre-approve and pre-clear all transactions in Kennametal securities. The request for pre-approval and pre-clearance must be in writing and must note the type of transaction, the number or amount of securities involved, and the effect the proposed transaction will have on the stock ownership guidelines applicable to the Corporate Officer making the request.</w:t>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grant of permission to trade in Kennametal securities will be in writing and will provide the date such request was approved. A grant of permission will normally remain valid through the applicable open window period. If the transaction does not occur during that open window period, pre-clearance of the transaction must be re-requested.</w:t>
      </w:r>
    </w:p>
    <w:p>
      <w:pPr>
        <w:pStyle w:val="TextBody"/>
        <w:bidi w:val="0"/>
        <w:spacing w:lineRule="auto" w:line="288" w:before="120" w:after="283"/>
        <w:ind w:left="0" w:right="0" w:firstLine="720"/>
        <w:jc w:val="left"/>
        <w:rPr/>
      </w:pPr>
      <w:r>
        <w:rPr>
          <w:rFonts w:ascii="Times New Roman;serif" w:hAnsi="Times New Roman;serif"/>
          <w:b w:val="false"/>
          <w:color w:val="000000"/>
          <w:sz w:val="24"/>
        </w:rPr>
        <w:t>Pre-clearance is not required for certain purchases and sales of Kennametal securities under a pre-approved trading plan that complies with SEC Rule 10b5-1, under company plans or transactions that do not constitute a purchase or sale, as provided in this Policy. See paragraphs below, “</w:t>
      </w:r>
      <w:r>
        <w:rPr>
          <w:rFonts w:ascii="Times New Roman;serif" w:hAnsi="Times New Roman;serif"/>
          <w:b w:val="false"/>
          <w:color w:val="000000"/>
          <w:sz w:val="24"/>
          <w:u w:val="single"/>
        </w:rPr>
        <w:t>Rule 10b5-1 Plans</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Transactions Under Company Plans</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Transactions Not Involving a Purchase or Sale</w:t>
      </w:r>
      <w:r>
        <w:rPr>
          <w:color w:val="000000"/>
        </w:rPr>
        <w:t>”</w:t>
      </w:r>
      <w:r>
        <w:rPr>
          <w:rFonts w:ascii="Times New Roman;serif" w:hAnsi="Times New Roman;serif"/>
          <w:b w:val="false"/>
          <w:color w:val="000000"/>
          <w:sz w:val="24"/>
        </w:rPr>
        <w:t>. With respect to any purchase or sale under an approved Rule 10b5-1 plan, the third-party effecting transactions on behalf of the Board Member, Executive Officer or Corporate Officer should be instructed to send duplicate confirmations of all such transactions to the Office of the General Counsel.</w:t>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67665"/>
                <wp:effectExtent l="0" t="0" r="0" b="0"/>
                <wp:wrapNone/>
                <wp:docPr id="113" name="Frame1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These pre-approval and pre-clearance procedures are intended to assist you in avoiding liability for trading at a time when there may be material corporate developmentsthat have not been publicly disclosed and to ensure that all required filings and other legal requirements relating to the transactions are observed.</w:t>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Transactions Under Company Plans</w:t>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Stock Option Exercises.</w:t>
      </w:r>
      <w:r>
        <w:rPr>
          <w:color w:val="000000"/>
        </w:rPr>
        <w:t>    </w:t>
      </w:r>
      <w:r>
        <w:rPr>
          <w:rFonts w:ascii="Times New Roman;serif" w:hAnsi="Times New Roman;serif"/>
          <w:b w:val="false"/>
          <w:color w:val="000000"/>
          <w:sz w:val="24"/>
        </w:rPr>
        <w:t>This Policy applies to any sale of stock as part of a broker assisted cashless exercise of an option, or any other market sale for the purpose of generating the cash needed to pay the exercise price of an option. This Policy does not apply to the exercise of a stock option acquired pursuant to the Company’s plans with cash or already owned Company securities, or through a net exercise and the exercise of a tax withholding right pursuant to which a person has elected to have the Company withhold shares subject to an option to pay the exercise price and/or satisfy tax withholding requirements in a manner permitted by the applicable award agreement. You are permitted to exercise stock options and hold corresponding shares acquired during a blackout period, however, sales of shares from exercised options are prohibited during blackout periods under this Policy.</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Restricted Stock Awards</w:t>
      </w:r>
      <w:r>
        <w:rPr>
          <w:rFonts w:ascii="Times New Roman;serif" w:hAnsi="Times New Roman;serif"/>
          <w:b w:val="false"/>
          <w:color w:val="000000"/>
          <w:sz w:val="24"/>
        </w:rPr>
        <w:t>. This Policy does not apply to the vesting of restricted stock, or the exercise of a tax withholding right pursuant to which you elect to have the Company withhold shares of stock to satisfy tax withholding requirements upon the vesting of any restricted stock. This Policy does apply to any market sale of restricted stock.</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401(k) Plan.</w:t>
      </w:r>
      <w:r>
        <w:rPr>
          <w:color w:val="000000"/>
        </w:rPr>
        <w:t xml:space="preserve"> </w:t>
      </w:r>
      <w:r>
        <w:rPr>
          <w:rFonts w:ascii="Times New Roman;serif" w:hAnsi="Times New Roman;serif"/>
          <w:b w:val="false"/>
          <w:color w:val="000000"/>
          <w:sz w:val="24"/>
        </w:rPr>
        <w:t>Kennametal's Insider Trading Policy does not apply to purchases of Kennametal stock in a 401(k) plan resulting from your periodic contribution of money to the plan pursuant to your payroll deduction election. The Policy does apply, however, to certain elections you may make under the 401(k) plan, including (a) an election to increase or decrease the percentage of your periodic contributions that will be allocated to a Kennametal stock fund, (b) an election to make an intra-plan transfer of an existing account balance into or out of a Kennametal stock fund, (c) an election to borrow money against your401(k) plan account if the loan will result in a liquidation of some or your entire Kennametal stock fund balance, and (d) your election to pre-pay a plan loan if the pre-payment will result in allocation of loan proceeds to a Kennametal stock fund.</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Dividend Reinvestment Plan</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Kennametal's Insider Trading Policy does not apply to purchases of Kennametal stock under Kennametal's dividend reinvestment plan resulting from your reinvestment of dividends paid on Kennametal securities. The Policy does apply, however, to voluntary purchases of Kennametal stock resulting from additional contributions you choose to make to the plan, and to your election to participate in the plan or increase your level of participation in the plan. The Policy also applies to your sale of any Kennametal stock purchased pursuant to the plan.</w:t>
      </w:r>
    </w:p>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7665"/>
                <wp:effectExtent l="0" t="0" r="0" b="0"/>
                <wp:wrapNone/>
                <wp:docPr id="114" name="Frame1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Transactions Not Involving a Purchase or Sale</w:t>
      </w:r>
    </w:p>
    <w:p>
      <w:pPr>
        <w:pStyle w:val="TextBody"/>
        <w:bidi w:val="0"/>
        <w:spacing w:lineRule="auto" w:line="288" w:before="120" w:after="283"/>
        <w:jc w:val="left"/>
        <w:rPr/>
      </w:pPr>
      <w:r>
        <w:rPr>
          <w:rFonts w:ascii="Times New Roman;serif" w:hAnsi="Times New Roman;serif"/>
          <w:b w:val="false"/>
          <w:i/>
          <w:color w:val="000000"/>
          <w:sz w:val="24"/>
        </w:rPr>
        <w:t xml:space="preserve">Bona fide </w:t>
      </w:r>
      <w:r>
        <w:rPr>
          <w:rFonts w:ascii="Times New Roman;serif" w:hAnsi="Times New Roman;serif"/>
          <w:b w:val="false"/>
          <w:color w:val="000000"/>
          <w:sz w:val="24"/>
        </w:rPr>
        <w:t>gifts of securities are not transactions subject to this Policy, unless (1) the person making the gift has reason to believe that the recipient intends to sell the Kennametal securities while the Board Member, Executive Officer, Corporate Officer or employee is aware of material nonpublic information, or (2) the person making the gift is subject to the trading restrictions specified above in “</w:t>
      </w:r>
      <w:r>
        <w:rPr>
          <w:rFonts w:ascii="Times New Roman;serif" w:hAnsi="Times New Roman;serif"/>
          <w:b w:val="false"/>
          <w:i/>
          <w:color w:val="000000"/>
          <w:sz w:val="24"/>
          <w:u w:val="single"/>
        </w:rPr>
        <w:t>Pre-clearance Notification and Approva</w:t>
      </w:r>
      <w:r>
        <w:rPr>
          <w:rFonts w:ascii="Times New Roman;serif" w:hAnsi="Times New Roman;serif"/>
          <w:b w:val="false"/>
          <w:i/>
          <w:color w:val="000000"/>
          <w:sz w:val="24"/>
        </w:rPr>
        <w:t xml:space="preserve">l” </w:t>
      </w:r>
      <w:r>
        <w:rPr>
          <w:rFonts w:ascii="Times New Roman;serif" w:hAnsi="Times New Roman;serif"/>
          <w:b w:val="false"/>
          <w:color w:val="000000"/>
          <w:sz w:val="24"/>
        </w:rPr>
        <w:t>and the sales by the recipient of the Kennametal’s securities occur during a blackout period.</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Transactions in mutual funds that are invested in Kennametal securities are not transactions subject to this Policy.</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Prohibited Transactions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Kennametal considers it improper and inappropriate for any Board Member, Executive Officer or other Corporate Officer to engage in short-term or speculative transactions in Kennametal's securities. It therefore is Kennametal's policy that all such individuals (including their family members) may not engage in any of the following transactions:</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Short-Term Trading.</w:t>
      </w:r>
      <w:r>
        <w:rPr>
          <w:color w:val="000000"/>
        </w:rPr>
        <w:t xml:space="preserve"> </w:t>
      </w:r>
      <w:r>
        <w:rPr>
          <w:rFonts w:ascii="Times New Roman;serif" w:hAnsi="Times New Roman;serif"/>
          <w:b w:val="false"/>
          <w:color w:val="000000"/>
          <w:sz w:val="24"/>
        </w:rPr>
        <w:t>Short-term trading of Kennametal’s securities may be distracting to an individual and cause them to be unduly focused on Kennametal’s short-term stock market performance instead of Kennametal’s long-term business objectives. Kennametal’s Board Members, Executive Officers or Corporate Officers who purchase Kennametal securities in the open market may not sell any Kennametal securities of the same class during the six months following the purchase (or vice versa).</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Short Sales.</w:t>
      </w:r>
      <w:r>
        <w:rPr>
          <w:color w:val="000000"/>
        </w:rPr>
        <w:t xml:space="preserve"> </w:t>
      </w:r>
      <w:r>
        <w:rPr>
          <w:rFonts w:ascii="Times New Roman;serif" w:hAnsi="Times New Roman;serif"/>
          <w:b w:val="false"/>
          <w:color w:val="000000"/>
          <w:sz w:val="24"/>
        </w:rPr>
        <w:t>Short sales of Kennametal's securities (sale of securities that the seller does not own) evidence an expectation on the part of the seller that the securities will decline in value, and therefore signal to the market that the seller lacks confidence in Kennametal or its short-term prospects. In addition, short sales may reduce the seller's incentive to improve Kennametal's performance. Section 16(c) of the Exchange Act prohibits officers and directors from engaging in short sales.</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Publicly Traded Options</w:t>
      </w:r>
      <w:r>
        <w:rPr>
          <w:rFonts w:ascii="Times New Roman;serif" w:hAnsi="Times New Roman;serif"/>
          <w:b w:val="false"/>
          <w:color w:val="000000"/>
          <w:sz w:val="24"/>
        </w:rPr>
        <w:t>. Transactions in put options, call options or other derivative securities, on an exchange or in any other organized market, are prohibited by this Policy. Short sales arising from certain types of hedging transactions are governed by the paragraph below captioned “</w:t>
      </w:r>
      <w:r>
        <w:rPr>
          <w:rFonts w:ascii="Times New Roman;serif" w:hAnsi="Times New Roman;serif"/>
          <w:b w:val="false"/>
          <w:i/>
          <w:color w:val="000000"/>
          <w:sz w:val="24"/>
          <w:u w:val="single"/>
        </w:rPr>
        <w:t>Hedging Transactions</w:t>
      </w:r>
      <w:r>
        <w:rPr>
          <w:color w:val="000000"/>
        </w:rPr>
        <w:t>”</w:t>
      </w:r>
      <w:r>
        <w:rPr>
          <w:rFonts w:ascii="Times New Roman;serif" w:hAnsi="Times New Roman;serif"/>
          <w:b w:val="false"/>
          <w:color w:val="000000"/>
          <w:sz w:val="24"/>
        </w:rPr>
        <w:t>.</w:t>
      </w:r>
    </w:p>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67665"/>
                <wp:effectExtent l="0" t="0" r="0" b="0"/>
                <wp:wrapNone/>
                <wp:docPr id="115" name="Frame1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Hedging Transactions.</w:t>
      </w:r>
      <w:r>
        <w:rPr>
          <w:color w:val="000000"/>
        </w:rPr>
        <w:t xml:space="preserve"> </w:t>
      </w:r>
      <w:r>
        <w:rPr>
          <w:rFonts w:ascii="Times New Roman;serif" w:hAnsi="Times New Roman;serif"/>
          <w:b w:val="false"/>
          <w:color w:val="000000"/>
          <w:sz w:val="24"/>
        </w:rPr>
        <w:t>Certain forms of hedging or monetization transactions, such as zero-cost collars and forward sale contracts, allow a seller to lock in much of the value of his or her stock holdings, often in exchange for all or part of the potential for upside appreciation in the stock. These transactions allow the Board Member, Executive Officer or Corporate Officer to continue to own the covered securities, but without the full risks and rewards of ownership. When that occurs, such individuals may no longer have the same objectives as Kennametal's other shareholders. Therefore, Board Members, Executive Officers and Corporate Officers are prohibited from engaging in any such transactions without the prior approval and express authorization of the General Counsel.</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Margin Accounts and Pledges</w:t>
      </w:r>
      <w:r>
        <w:rPr>
          <w:rFonts w:ascii="Times New Roman;serif" w:hAnsi="Times New Roman;serif"/>
          <w:b w:val="false"/>
          <w:color w:val="000000"/>
          <w:sz w:val="24"/>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Kennametal securities, Board Members, Executive Officers and other Corporate Officers are prohibited from holding Kennametal securities in a margin account or pledging Kennametal securities as collateral for a loan unless the General Counsel has granted an exception to the individual. An exception to this prohibition may be granted where a person wishes to pledge Kennametal securities as collateral for a loan (not including margin debt) and clearly demonstrates the financial capacity to repay the loan without resort to the pledged securities. Any Board Member, Executive Officer or other Corporate Officer who wishes to pledge Kennametal securities as collateral for a loan must submit a request for approval to the General Counsel prior to the proposed execution of documents evidencing the proposed pledge.</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Limited Transactions</w:t>
      </w:r>
    </w:p>
    <w:p>
      <w:pPr>
        <w:pStyle w:val="TextBody"/>
        <w:bidi w:val="0"/>
        <w:spacing w:before="120" w:after="283"/>
        <w:jc w:val="left"/>
        <w:rPr/>
      </w:pPr>
      <w:r>
        <w:rPr/>
      </w:r>
    </w:p>
    <w:p>
      <w:pPr>
        <w:pStyle w:val="TextBody"/>
        <w:bidi w:val="0"/>
        <w:spacing w:lineRule="auto" w:line="288" w:before="120" w:after="283"/>
        <w:ind w:left="0" w:right="0" w:firstLine="720"/>
        <w:jc w:val="left"/>
        <w:rPr/>
      </w:pPr>
      <w:r>
        <w:rPr>
          <w:rFonts w:ascii="Times New Roman;serif" w:hAnsi="Times New Roman;serif"/>
          <w:b w:val="false"/>
          <w:i/>
          <w:color w:val="000000"/>
          <w:sz w:val="24"/>
          <w:u w:val="single"/>
        </w:rPr>
        <w:t>Standing and Limit Orders</w:t>
      </w:r>
      <w:r>
        <w:rPr>
          <w:rFonts w:ascii="Times New Roman;serif" w:hAnsi="Times New Roman;serif"/>
          <w:b w:val="false"/>
          <w:i/>
          <w:color w:val="000000"/>
          <w:sz w:val="24"/>
        </w:rPr>
        <w:t xml:space="preserve">. </w:t>
      </w:r>
      <w:r>
        <w:rPr>
          <w:rFonts w:ascii="Times New Roman;serif" w:hAnsi="Times New Roman;serif"/>
          <w:b w:val="false"/>
          <w:color w:val="000000"/>
          <w:sz w:val="24"/>
        </w:rPr>
        <w:t>Standing and limit orders (except standing and limit orders under approved Rule 10b5-1 Plans discussed below)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w:t>
      </w:r>
      <w:r>
        <w:rPr>
          <w:rFonts w:ascii="Times New Roman;serif" w:hAnsi="Times New Roman;serif"/>
          <w:b/>
          <w:color w:val="000000"/>
          <w:sz w:val="24"/>
        </w:rPr>
        <w:t xml:space="preserve">. </w:t>
      </w:r>
      <w:r>
        <w:rPr>
          <w:rFonts w:ascii="Times New Roman;serif" w:hAnsi="Times New Roman;serif"/>
          <w:b w:val="false"/>
          <w:color w:val="000000"/>
          <w:sz w:val="24"/>
        </w:rPr>
        <w:t>Under this Policy, Covered Persons are permitted to place standing or limit orders when the trading window is open (provided the Covered Person otherwise complies with the restrictions and procedures set forth in this Policy); however, any unfulfilled standing or limit orders will terminate upon commencement of a blackout period. For standing or limit orders that are placed pursuant to an approved Rule 10b5-1 Plan, termination of such orders during blackout periods does not apply. Standing orders or limit orders are permitted for non-Covered Persons and such orders by non-Covered Persons should otherwise comply with the restrictions and procedures set forth in this Policy</w:t>
      </w:r>
      <w:r>
        <w:rPr>
          <w:rFonts w:ascii="Times New Roman;serif" w:hAnsi="Times New Roman;serif"/>
          <w:b w:val="false"/>
          <w:i/>
          <w:color w:val="000000"/>
          <w:sz w:val="24"/>
        </w:rPr>
        <w: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Rule 10b5-1 Plans</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7665"/>
                <wp:effectExtent l="0" t="0" r="0" b="0"/>
                <wp:wrapNone/>
                <wp:docPr id="116" name="Frame1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 Rule 10b5-1 provides a defense from insider trading liability under federal securities laws. To be eligible to rely on this defense, a person must enter into a Rule 10b5-1 trading plan for trading in Kennametal securities (a “Rule 10b5-1 Plan”). If the plan meets the requirements of SEC Rule 10b5-1, Kennametal securities may be purchased or sold without regard to certain insider trading restrictions.</w:t>
      </w:r>
    </w:p>
    <w:p>
      <w:pPr>
        <w:pStyle w:val="TextBody"/>
        <w:bidi w:val="0"/>
        <w:spacing w:lineRule="auto" w:line="288" w:before="120" w:after="283"/>
        <w:jc w:val="left"/>
        <w:rPr/>
      </w:pPr>
      <w:r>
        <w:rPr>
          <w:rFonts w:ascii="Times New Roman;serif" w:hAnsi="Times New Roman;serif"/>
          <w:b w:val="false"/>
          <w:color w:val="000000"/>
          <w:sz w:val="24"/>
        </w:rPr>
        <w:t xml:space="preserve">To comply with this Policy, a Rule 10b5-1 Plan must be pre-approved by the General Counsel and it must meet the requirements of SEC Rule 10b5-1. In general, a Rule 10b5-1 Plan must be established at a time when the person establishing the plan </w:t>
      </w:r>
      <w:r>
        <w:rPr>
          <w:rFonts w:ascii="Times New Roman;serif" w:hAnsi="Times New Roman;serif"/>
          <w:b w:val="false"/>
          <w:color w:val="000000"/>
          <w:sz w:val="24"/>
          <w:u w:val="single"/>
        </w:rPr>
        <w:t>does not</w:t>
      </w:r>
      <w:r>
        <w:rPr>
          <w:color w:val="000000"/>
        </w:rPr>
        <w:t xml:space="preserve"> </w:t>
      </w:r>
      <w:r>
        <w:rPr>
          <w:rFonts w:ascii="Times New Roman;serif" w:hAnsi="Times New Roman;serif"/>
          <w:b w:val="false"/>
          <w:color w:val="000000"/>
          <w:sz w:val="24"/>
        </w:rPr>
        <w:t>possess material nonpublic information.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w:t>
      </w:r>
    </w:p>
    <w:p>
      <w:pPr>
        <w:pStyle w:val="TextBody"/>
        <w:bidi w:val="0"/>
        <w:spacing w:before="120" w:after="283"/>
        <w:jc w:val="left"/>
        <w:rPr/>
      </w:pPr>
      <w:r>
        <w:rPr/>
      </w:r>
    </w:p>
    <w:p>
      <w:pPr>
        <w:pStyle w:val="TextBody"/>
        <w:bidi w:val="0"/>
        <w:spacing w:lineRule="auto" w:line="288" w:before="120" w:after="283"/>
        <w:jc w:val="both"/>
        <w:rPr>
          <w:rFonts w:ascii="Times New Roman;serif" w:hAnsi="Times New Roman;serif"/>
          <w:b/>
          <w:color w:val="000000"/>
          <w:sz w:val="24"/>
          <w:u w:val="single"/>
        </w:rPr>
      </w:pPr>
      <w:r>
        <w:rPr>
          <w:rFonts w:ascii="Times New Roman;serif" w:hAnsi="Times New Roman;serif"/>
          <w:b/>
          <w:color w:val="000000"/>
          <w:sz w:val="24"/>
          <w:u w:val="single"/>
        </w:rPr>
        <w:t>Post-Termination Transactions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The Insider Trading Policy continues to apply to your transactions in Kennametal securities even after you have terminated employment. If you are in possession of material nonpublic information when your employment terminates, you may not trade in Kennametal securities until that information has become public or is no longer material. In addition, all former Board Members and Executive Officers (who have been designated “Section 16 officers”) must notify Kennametal of any proposed purchases and/or sales of Kennametal securities for up to six months following such person’s departure from the Company to ensure compliance with Section 16 of the Exchange Act.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4"/>
          <w:u w:val="single"/>
        </w:rPr>
      </w:pPr>
      <w:r>
        <w:rPr>
          <w:rFonts w:ascii="Times New Roman;serif" w:hAnsi="Times New Roman;serif"/>
          <w:b/>
          <w:color w:val="000000"/>
          <w:sz w:val="24"/>
          <w:u w:val="single"/>
        </w:rPr>
        <w:t>Questions and Company Assistance</w:t>
      </w:r>
    </w:p>
    <w:p>
      <w:pPr>
        <w:pStyle w:val="TextBody"/>
        <w:bidi w:val="0"/>
        <w:spacing w:lineRule="auto" w:line="288" w:before="120" w:after="283"/>
        <w:jc w:val="left"/>
        <w:rPr/>
      </w:pPr>
      <w:r>
        <w:rPr>
          <w:rFonts w:ascii="Times New Roman;serif" w:hAnsi="Times New Roman;serif"/>
          <w:b w:val="false"/>
          <w:color w:val="000000"/>
          <w:sz w:val="24"/>
        </w:rPr>
        <w:t xml:space="preserve">If you have questions about this Policy or its application to any proposed transaction, you may contact the Office of the General Counsel at 412-248-8309 or </w:t>
      </w:r>
      <w:r>
        <w:rPr>
          <w:rFonts w:ascii="Times New Roman;serif" w:hAnsi="Times New Roman;serif"/>
          <w:b w:val="false"/>
          <w:color w:val="0000FF"/>
          <w:sz w:val="24"/>
          <w:u w:val="single"/>
        </w:rPr>
        <w:t>michelle.keating@kennametal.com</w:t>
      </w:r>
      <w:r>
        <w:rPr>
          <w:rFonts w:ascii="Times New Roman;serif" w:hAnsi="Times New Roman;serif"/>
          <w:b w:val="false"/>
          <w:color w:val="000000"/>
          <w:sz w:val="24"/>
        </w:rPr>
        <w:t>.</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Ultimately, the responsibility for adhering to this Policy and avoiding unlawful transactions rests with you.</w:t>
      </w:r>
    </w:p>
    <w:p>
      <w:pPr>
        <w:pStyle w:val="TextBody"/>
        <w:bidi w:val="0"/>
        <w:spacing w:before="12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67665"/>
                <wp:effectExtent l="0" t="0" r="0" b="0"/>
                <wp:wrapNone/>
                <wp:docPr id="117" name="Frame1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120" w:after="283"/>
        <w:jc w:val="center"/>
        <w:rPr/>
      </w:pPr>
      <w:r>
        <w:rPr>
          <w:rFonts w:ascii="Times New Roman;serif" w:hAnsi="Times New Roman;serif"/>
          <w:b/>
          <w:color w:val="000000"/>
          <w:sz w:val="24"/>
        </w:rPr>
        <w:t xml:space="preserve">Appendix A </w:t>
      </w:r>
      <w:r>
        <w:rPr>
          <w:rFonts w:ascii="Times New Roman;serif" w:hAnsi="Times New Roman;serif"/>
          <w:b/>
          <w:color w:val="000000"/>
          <w:sz w:val="24"/>
          <w:u w:val="single"/>
        </w:rPr>
        <w:t>Definitions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As used in this Insider Trading Policy, the terms below (whether or not capitalized in the Insider Trading Policy) have the following meanings:</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4"/>
        </w:rPr>
        <w:t xml:space="preserve">Covered Persons </w:t>
      </w:r>
      <w:r>
        <w:rPr>
          <w:color w:val="000000"/>
        </w:rPr>
        <w:t xml:space="preserve">– </w:t>
      </w:r>
      <w:r>
        <w:rPr>
          <w:rFonts w:ascii="Times New Roman;serif" w:hAnsi="Times New Roman;serif"/>
          <w:b w:val="false"/>
          <w:color w:val="000000"/>
          <w:sz w:val="24"/>
        </w:rPr>
        <w:t>collectively, all members of the Board of Directors, Executive Officers, Corporate Officers, ELT members and Designated Persons as defined below.</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4"/>
        </w:rPr>
        <w:t xml:space="preserve">Board Members </w:t>
      </w:r>
      <w:r>
        <w:rPr>
          <w:color w:val="000000"/>
        </w:rPr>
        <w:t xml:space="preserve">– </w:t>
      </w:r>
      <w:r>
        <w:rPr>
          <w:rFonts w:ascii="Times New Roman;serif" w:hAnsi="Times New Roman;serif"/>
          <w:b w:val="false"/>
          <w:color w:val="000000"/>
          <w:sz w:val="24"/>
        </w:rPr>
        <w:t>all members of Kennametal’s Board of Directors</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4"/>
        </w:rPr>
        <w:t xml:space="preserve">Executive Officers – </w:t>
      </w:r>
      <w:r>
        <w:rPr>
          <w:rFonts w:ascii="Times New Roman;serif" w:hAnsi="Times New Roman;serif"/>
          <w:b w:val="false"/>
          <w:color w:val="000000"/>
          <w:sz w:val="24"/>
        </w:rPr>
        <w:t>those officers appointed, approved or ratified by Kennametal’s Board of Directors, who are ELT members</w:t>
      </w:r>
    </w:p>
    <w:p>
      <w:pPr>
        <w:pStyle w:val="TextBody"/>
        <w:bidi w:val="0"/>
        <w:spacing w:before="120" w:after="283"/>
        <w:jc w:val="left"/>
        <w:rPr/>
      </w:pPr>
      <w:r>
        <w:rPr/>
      </w:r>
    </w:p>
    <w:p>
      <w:pPr>
        <w:pStyle w:val="TextBody"/>
        <w:bidi w:val="0"/>
        <w:spacing w:lineRule="auto" w:line="288" w:before="120" w:after="283"/>
        <w:jc w:val="both"/>
        <w:rPr/>
      </w:pPr>
      <w:r>
        <w:rPr>
          <w:rFonts w:ascii="Times New Roman;serif" w:hAnsi="Times New Roman;serif"/>
          <w:b/>
          <w:color w:val="000000"/>
          <w:sz w:val="24"/>
        </w:rPr>
        <w:t xml:space="preserve">Corporate Officers – </w:t>
      </w:r>
      <w:r>
        <w:rPr>
          <w:rFonts w:ascii="Times New Roman;serif" w:hAnsi="Times New Roman;serif"/>
          <w:b w:val="false"/>
          <w:color w:val="000000"/>
          <w:sz w:val="24"/>
        </w:rPr>
        <w:t xml:space="preserve">those officers who are senior leadership level employees (Vice President and/or Managing Director titles) who directly report to an ELT member </w:t>
      </w:r>
      <w:r>
        <w:rPr>
          <w:rFonts w:ascii="Times New Roman;serif" w:hAnsi="Times New Roman;serif"/>
          <w:b w:val="false"/>
          <w:color w:val="000000"/>
          <w:sz w:val="24"/>
          <w:u w:val="single"/>
        </w:rPr>
        <w:t>and</w:t>
      </w:r>
      <w:r>
        <w:rPr>
          <w:color w:val="000000"/>
        </w:rPr>
        <w:t xml:space="preserve"> </w:t>
      </w:r>
      <w:r>
        <w:rPr>
          <w:rFonts w:ascii="Times New Roman;serif" w:hAnsi="Times New Roman;serif"/>
          <w:b w:val="false"/>
          <w:color w:val="000000"/>
          <w:sz w:val="24"/>
        </w:rPr>
        <w:t>who are subject to Kennametal’s stock ownership guidelines</w:t>
      </w:r>
    </w:p>
    <w:p>
      <w:pPr>
        <w:pStyle w:val="TextBody"/>
        <w:bidi w:val="0"/>
        <w:spacing w:before="120" w:after="283"/>
        <w:jc w:val="left"/>
        <w:rPr/>
      </w:pPr>
      <w:r>
        <w:rPr/>
      </w:r>
    </w:p>
    <w:p>
      <w:pPr>
        <w:pStyle w:val="TextBody"/>
        <w:bidi w:val="0"/>
        <w:spacing w:lineRule="auto" w:line="288" w:before="120" w:after="283"/>
        <w:jc w:val="both"/>
        <w:rPr/>
      </w:pPr>
      <w:r>
        <w:rPr>
          <w:rFonts w:ascii="Times New Roman;serif" w:hAnsi="Times New Roman;serif"/>
          <w:b/>
          <w:color w:val="000000"/>
          <w:sz w:val="24"/>
        </w:rPr>
        <w:t xml:space="preserve">ELT member(s) </w:t>
      </w:r>
      <w:r>
        <w:rPr>
          <w:color w:val="000000"/>
        </w:rPr>
        <w:t xml:space="preserve">– </w:t>
      </w:r>
      <w:r>
        <w:rPr>
          <w:rFonts w:ascii="Times New Roman;serif" w:hAnsi="Times New Roman;serif"/>
          <w:b w:val="false"/>
          <w:color w:val="000000"/>
          <w:sz w:val="24"/>
        </w:rPr>
        <w:t>a member of Kennametal’s Executive Leadership Team</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color w:val="000000"/>
          <w:sz w:val="24"/>
        </w:rPr>
        <w:t xml:space="preserve">Designated Persons </w:t>
      </w:r>
      <w:r>
        <w:rPr>
          <w:color w:val="000000"/>
        </w:rPr>
        <w:t xml:space="preserve">– </w:t>
      </w:r>
      <w:r>
        <w:rPr>
          <w:rFonts w:ascii="Times New Roman;serif" w:hAnsi="Times New Roman;serif"/>
          <w:b w:val="false"/>
          <w:color w:val="000000"/>
          <w:sz w:val="24"/>
        </w:rPr>
        <w:t>includes the following:</w:t>
      </w:r>
    </w:p>
    <w:p>
      <w:pPr>
        <w:pStyle w:val="TextBody"/>
        <w:bidi w:val="0"/>
        <w:spacing w:lineRule="auto" w:line="288" w:before="120" w:after="283"/>
        <w:ind w:left="0" w:right="0" w:hanging="359"/>
        <w:jc w:val="left"/>
        <w:rPr/>
      </w:pPr>
      <w:r>
        <w:rPr>
          <w:rFonts w:ascii="Courier New;serif" w:hAnsi="Courier New;serif"/>
          <w:b w:val="false"/>
          <w:color w:val="000000"/>
          <w:sz w:val="24"/>
        </w:rPr>
        <w:t>o</w:t>
      </w:r>
      <w:r>
        <w:rPr>
          <w:rFonts w:ascii="Times New Roman;serif" w:hAnsi="Times New Roman;serif"/>
          <w:b w:val="false"/>
          <w:color w:val="000000"/>
          <w:sz w:val="24"/>
        </w:rPr>
        <w:t>Assistant Officers</w:t>
      </w:r>
    </w:p>
    <w:p>
      <w:pPr>
        <w:pStyle w:val="TextBody"/>
        <w:bidi w:val="0"/>
        <w:spacing w:lineRule="auto" w:line="288" w:before="120" w:after="283"/>
        <w:ind w:left="0" w:right="0" w:hanging="359"/>
        <w:jc w:val="left"/>
        <w:rPr/>
      </w:pPr>
      <w:r>
        <w:rPr>
          <w:rFonts w:ascii="Courier New;serif" w:hAnsi="Courier New;serif"/>
          <w:b w:val="false"/>
          <w:color w:val="000000"/>
          <w:sz w:val="24"/>
        </w:rPr>
        <w:t>o</w:t>
      </w:r>
      <w:r>
        <w:rPr>
          <w:rFonts w:ascii="Times New Roman;serif" w:hAnsi="Times New Roman;serif"/>
          <w:b w:val="false"/>
          <w:color w:val="000000"/>
          <w:sz w:val="24"/>
        </w:rPr>
        <w:t>Individuals reporting directly to the Chief Financial Officer of Kennametal</w:t>
      </w:r>
    </w:p>
    <w:p>
      <w:pPr>
        <w:pStyle w:val="TextBody"/>
        <w:bidi w:val="0"/>
        <w:spacing w:lineRule="auto" w:line="288" w:before="120" w:after="283"/>
        <w:ind w:left="0" w:right="0" w:hanging="359"/>
        <w:jc w:val="left"/>
        <w:rPr/>
      </w:pPr>
      <w:r>
        <w:rPr>
          <w:rFonts w:ascii="Courier New;serif" w:hAnsi="Courier New;serif"/>
          <w:b w:val="false"/>
          <w:color w:val="000000"/>
          <w:sz w:val="24"/>
        </w:rPr>
        <w:t>o</w:t>
      </w:r>
      <w:r>
        <w:rPr>
          <w:rFonts w:ascii="Times New Roman;serif" w:hAnsi="Times New Roman;serif"/>
          <w:b w:val="false"/>
          <w:color w:val="000000"/>
          <w:sz w:val="24"/>
        </w:rPr>
        <w:t>Individuals reporting directly to the General Counsel of Kennametal</w:t>
      </w:r>
    </w:p>
    <w:p>
      <w:pPr>
        <w:pStyle w:val="TextBody"/>
        <w:bidi w:val="0"/>
        <w:spacing w:lineRule="auto" w:line="288" w:before="120" w:after="283"/>
        <w:ind w:left="0" w:right="0" w:hanging="360"/>
        <w:jc w:val="left"/>
        <w:rPr/>
      </w:pPr>
      <w:r>
        <w:rPr>
          <w:rFonts w:ascii="Courier New;serif" w:hAnsi="Courier New;serif"/>
          <w:b w:val="false"/>
          <w:color w:val="000000"/>
          <w:sz w:val="24"/>
        </w:rPr>
        <w:t>o</w:t>
      </w:r>
      <w:r>
        <w:rPr>
          <w:rFonts w:ascii="Times New Roman;serif" w:hAnsi="Times New Roman;serif"/>
          <w:b w:val="false"/>
          <w:color w:val="000000"/>
          <w:sz w:val="24"/>
        </w:rPr>
        <w:t>Kennametal employees (i) involved in preparing or having knowledge about consolidated financial statements, or (ii) with knowledge of consolidated financial forecasts</w:t>
      </w:r>
    </w:p>
    <w:p>
      <w:pPr>
        <w:pStyle w:val="TextBody"/>
        <w:bidi w:val="0"/>
        <w:spacing w:lineRule="auto" w:line="288" w:before="120" w:after="283"/>
        <w:ind w:left="0" w:right="0" w:hanging="359"/>
        <w:jc w:val="left"/>
        <w:rPr/>
      </w:pPr>
      <w:r>
        <w:rPr>
          <w:rFonts w:ascii="Courier New;serif" w:hAnsi="Courier New;serif"/>
          <w:b w:val="false"/>
          <w:color w:val="000000"/>
          <w:sz w:val="24"/>
        </w:rPr>
        <w:t>o</w:t>
      </w:r>
      <w:r>
        <w:rPr>
          <w:rFonts w:ascii="Times New Roman;serif" w:hAnsi="Times New Roman;serif"/>
          <w:b w:val="false"/>
          <w:color w:val="000000"/>
          <w:sz w:val="24"/>
        </w:rPr>
        <w:t>Investor Relations professionals</w:t>
      </w:r>
    </w:p>
    <w:p>
      <w:pPr>
        <w:pStyle w:val="TextBody"/>
        <w:bidi w:val="0"/>
        <w:spacing w:lineRule="auto" w:line="288" w:before="120" w:after="283"/>
        <w:ind w:left="0" w:right="0" w:hanging="359"/>
        <w:jc w:val="left"/>
        <w:rPr/>
      </w:pPr>
      <w:r>
        <w:rPr>
          <w:rFonts w:ascii="Courier New;serif" w:hAnsi="Courier New;serif"/>
          <w:b w:val="false"/>
          <w:color w:val="000000"/>
          <w:sz w:val="24"/>
        </w:rPr>
        <w:t>o</w:t>
      </w:r>
      <w:r>
        <w:rPr>
          <w:rFonts w:ascii="Times New Roman;serif" w:hAnsi="Times New Roman;serif"/>
          <w:b w:val="false"/>
          <w:color w:val="000000"/>
          <w:sz w:val="24"/>
        </w:rPr>
        <w:t>Corporate Communications professionals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7665"/>
                <wp:effectExtent l="0" t="0" r="0" b="0"/>
                <wp:wrapNone/>
                <wp:docPr id="118" name="Frame1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DIRECTORY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consolidated subsidiaries and affiliated companies as of June 30, 2026 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and Affiliated Companies of Kennametal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(Malaysia) Sdn. Bhd.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(Singapore) Pte.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(Thailand) Co.,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Australia Pty.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de Mexico, S.A. de C.V.</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Distribution Services Asia Pte.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Hardpoint (Taiwan)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Holdings Europe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Japan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Korea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Manufacturing S.A. (Pty)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Kennametal Shared Services Private Limited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South Africa (Pty.)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PT. Kennametal Indonesia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Subsidiary of Kennametal (Singapore) Pte.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Vietnam LLC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Kennametal Holdings Europe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Stellite Holdings Corp.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Holdings,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Europe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Comericializadora Kennametal Bolivia S.R.L.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Argentina S.A.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Chile Ltda.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do Brasil Ltda.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Kennametal Stellite Holdings Corp.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Stellite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Stellite (Shanghai) Co., Ltd. (Joint Venture)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Kennametal Asia (HK)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Sintec Keramik Asia Ltd.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Kennametal Sintec Keramik Asia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Sunshine Powder-Tech (Shanghai)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Asia (Shanghai) Management Co.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(China) Co.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Hardpoint (Shanghai) Co.,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(Xuzhou) Company,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(Changzhou) Co., Ltd.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Kennametal Europe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Hanita Metal Works,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Holding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Nederland B.V.</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Asia (HK)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Sintec Holding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OOO Kennametal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Kennametal Holding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Hungaria Kft.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Logistics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Shared Services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Sintec Keramik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Widia GmbH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and Affiliated Companies of Kennametal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Kenci S.L.U.</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Belgium BVBA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Deutschland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France S.A.S.U.</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GmbH Organizacni Slozka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GmbH Zweigniederlassung Osterreich</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GmbH Fürth Sucursala Sibiu</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GmbH, organizačná zložka, Slovensko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Infrastructure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Italia S.p.A.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Kesici Takimlar Sanayi Ve Ticaret Anonim Sirketi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Polska Sp. z o.o.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Produktions GmbH &amp; Co. KG.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Sp. z o.o.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Stellram S.r.L.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UK Limited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Ruebig Real Estate GmbH &amp; Co. KG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Real Estate GmbH &amp; Co. KG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(Deutschland) Real Estate GmbH &amp; Co. KG (partnership)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Subsidiary of Kennametal Italia S.p.A.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Italia Produzione S.R.L.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Subsidiary of Kennametal Sp. z o.o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Produkcja Sp. z o.o.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and Affiliated Companies of Widia GmbH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Widia Produktions GmbH &amp; Co. KG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Widia Real Estate GmbH &amp; Co. KG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Meturit AG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Subsidiary of Meturit AG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India Ltd.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Kenci S.L.U.</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Kenci Lda.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Manufacturing Barcelona S.L.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Consolidated Subsidiaries of Kennametal UK Limited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Logistics UK Ltd.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Kennametal Manufacturing UK Ltd.</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Statements on Form S-3 (No. 333-283027) and Form S-8 (No. 333-18423, No. 333-88049, No. 333-30448, No. 333-53562, No. 333-124774, No. 333-142727, No. 333-154705, No. 333-170348, No. 333-222177, No. 333-249824 and No. 333-283033) of Kennametal Inc. of our report dated August 12, 2026 relating to the financial statements, financial statement schedule,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br/>
        <w:t>Pittsburgh, Pennsylvania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August 12,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 Sanjay Chowbey, certify that: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Kennametal Inc.;</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54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937"/>
        <w:gridCol w:w="937"/>
        <w:gridCol w:w="13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Sanjay Chowbey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Sanjay Chowbey</w:t>
              <w:b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 Patrick S. Watson,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Kennametal Inc.;</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90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044"/>
        <w:gridCol w:w="1044"/>
        <w:gridCol w:w="148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S. Watson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S. Watson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4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300" w:after="283"/>
        <w:ind w:left="0" w:right="0" w:firstLine="108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Kennametal Inc. (the “Corporation”) on Form 10-K for the period ended June 30, 2026, as filed with the Securities and Exchange Commission on the date hereof (the “Report”), each of the undersigned officers of the Corporation certifies, pursuant to 18 U.S.C. § 1350, as adopted pursuant to Section 906 of the Sarbanes-Oxley Act of 2002, that, to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Corporation.</w:t>
      </w:r>
    </w:p>
    <w:p>
      <w:pPr>
        <w:pStyle w:val="TextBody"/>
        <w:bidi w:val="0"/>
        <w:spacing w:lineRule="auto" w:line="288" w:before="4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Sanjay Chowbey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Sanjay Chowbey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12, 2026 </w:t>
      </w:r>
    </w:p>
    <w:p>
      <w:pPr>
        <w:pStyle w:val="TextBody"/>
        <w:bidi w:val="0"/>
        <w:spacing w:lineRule="auto" w:line="288" w:before="4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Patrick S. Watson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Patrick S. Watson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August 12, 2026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certification is made solely for purposes of 18 U.S.C. Section 1350, subject to the knowledge standard contained therein, and not for any other purpose.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97.1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KENNAMETAL INC.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CLAWBACK POLICY</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Purpose</w:t>
      </w:r>
    </w:p>
    <w:p>
      <w:pPr>
        <w:pStyle w:val="TextBody"/>
        <w:bidi w:val="0"/>
        <w:spacing w:lineRule="auto" w:line="288" w:before="0" w:after="240"/>
        <w:jc w:val="both"/>
        <w:rPr/>
      </w:pPr>
      <w:r>
        <w:rPr>
          <w:rFonts w:ascii="Times New Roman;serif" w:hAnsi="Times New Roman;serif"/>
          <w:b w:val="false"/>
          <w:color w:val="000000"/>
          <w:sz w:val="24"/>
        </w:rPr>
        <w:t>Kennametal Inc. (“Company”) is establishing this policy to align the interests of executive officers of the Company with those of shareholders, to create and maintain a culture that emphasizes integrity and accountability and to enforce the Company’s pay-for-performance compensation philosophy. This policy provides for the recoupment of certain executive compensation in the event of an accounting restatement resulting from material noncompliance with financial reporting requirements under the federal securities laws (the “</w:t>
      </w:r>
      <w:r>
        <w:rPr>
          <w:rFonts w:ascii="Times New Roman;serif" w:hAnsi="Times New Roman;serif"/>
          <w:b/>
          <w:color w:val="000000"/>
          <w:sz w:val="24"/>
        </w:rPr>
        <w:t>Policy</w:t>
      </w:r>
      <w:r>
        <w:rPr>
          <w:color w:val="000000"/>
        </w:rPr>
        <w:t>”</w:t>
      </w:r>
      <w:r>
        <w:rPr>
          <w:rFonts w:ascii="Times New Roman;serif" w:hAnsi="Times New Roman;serif"/>
          <w:b w:val="false"/>
          <w:color w:val="000000"/>
          <w:sz w:val="24"/>
        </w:rPr>
        <w:t>). This Policy is designed to comply with Section 10D of the Securities Exchange Act of 1934 (the “</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Rule 10D-1 promulgated under the Exchange Act (“</w:t>
      </w:r>
      <w:r>
        <w:rPr>
          <w:rFonts w:ascii="Times New Roman;serif" w:hAnsi="Times New Roman;serif"/>
          <w:b/>
          <w:color w:val="000000"/>
          <w:sz w:val="24"/>
        </w:rPr>
        <w:t>Rule 10D-1</w:t>
      </w:r>
      <w:r>
        <w:rPr>
          <w:color w:val="000000"/>
        </w:rPr>
        <w:t>”</w:t>
      </w:r>
      <w:r>
        <w:rPr>
          <w:rFonts w:ascii="Times New Roman;serif" w:hAnsi="Times New Roman;serif"/>
          <w:b w:val="false"/>
          <w:color w:val="000000"/>
          <w:sz w:val="24"/>
        </w:rPr>
        <w:t>), and Section 303A.14 of the New York Stock Exchange Listed Company Manual (the “</w:t>
      </w:r>
      <w:r>
        <w:rPr>
          <w:rFonts w:ascii="Times New Roman;serif" w:hAnsi="Times New Roman;serif"/>
          <w:b/>
          <w:color w:val="000000"/>
          <w:sz w:val="24"/>
        </w:rPr>
        <w:t>Listing Standards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Administration</w:t>
      </w:r>
    </w:p>
    <w:p>
      <w:pPr>
        <w:pStyle w:val="TextBody"/>
        <w:bidi w:val="0"/>
        <w:spacing w:lineRule="auto" w:line="288" w:before="0" w:after="240"/>
        <w:jc w:val="both"/>
        <w:rPr/>
      </w:pPr>
      <w:r>
        <w:rPr>
          <w:rFonts w:ascii="Times New Roman;serif" w:hAnsi="Times New Roman;serif"/>
          <w:b w:val="false"/>
          <w:color w:val="000000"/>
          <w:sz w:val="24"/>
        </w:rPr>
        <w:t>This Policy shall be administered by the Board of Directors (the “</w:t>
      </w:r>
      <w:r>
        <w:rPr>
          <w:rFonts w:ascii="Times New Roman;serif" w:hAnsi="Times New Roman;serif"/>
          <w:b/>
          <w:color w:val="000000"/>
          <w:sz w:val="24"/>
        </w:rPr>
        <w:t>Board</w:t>
      </w:r>
      <w:r>
        <w:rPr>
          <w:color w:val="000000"/>
        </w:rPr>
        <w:t>”</w:t>
      </w:r>
      <w:r>
        <w:rPr>
          <w:rFonts w:ascii="Times New Roman;serif" w:hAnsi="Times New Roman;serif"/>
          <w:b w:val="false"/>
          <w:color w:val="000000"/>
          <w:sz w:val="24"/>
        </w:rPr>
        <w:t>) of the Company or, if so designated by the Board, a committee thereof including the Compensation and Human Capital Committee, in which case references herein to the Board shall be deemed references to such committee. The Board is authorized to interpret and construe this Policy and to make all determinations and rules as it deems to be necessary or advisable for its administration. It is intended that this Policy be interpreted in a manner that is consistent with the requirements of Section 10D of the Exchange Act and any applicable rules or standards adopted by the Securities and Exchange Commission or the New York Stock Exchange (“</w:t>
      </w:r>
      <w:r>
        <w:rPr>
          <w:rFonts w:ascii="Times New Roman;serif" w:hAnsi="Times New Roman;serif"/>
          <w:b/>
          <w:color w:val="000000"/>
          <w:sz w:val="24"/>
        </w:rPr>
        <w:t>NYSE</w:t>
      </w:r>
      <w:r>
        <w:rPr>
          <w:color w:val="000000"/>
        </w:rPr>
        <w:t>”</w:t>
      </w:r>
      <w:r>
        <w:rPr>
          <w:rFonts w:ascii="Times New Roman;serif" w:hAnsi="Times New Roman;serif"/>
          <w:b w:val="false"/>
          <w:color w:val="000000"/>
          <w:sz w:val="24"/>
        </w:rPr>
        <w:t>). Any determinations made by the Board shall be final and binding on all affected individuals.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Covered Executives</w:t>
      </w:r>
    </w:p>
    <w:p>
      <w:pPr>
        <w:pStyle w:val="TextBody"/>
        <w:bidi w:val="0"/>
        <w:spacing w:lineRule="auto" w:line="288" w:before="0" w:after="240"/>
        <w:jc w:val="both"/>
        <w:rPr/>
      </w:pPr>
      <w:r>
        <w:rPr>
          <w:rFonts w:ascii="Times New Roman;serif" w:hAnsi="Times New Roman;serif"/>
          <w:b w:val="false"/>
          <w:color w:val="000000"/>
          <w:sz w:val="24"/>
        </w:rPr>
        <w:t>This Policy applies to the Company’s current and former executive officers, as determined by the Board in accordance with Section 10D of the Exchange Act, the definition of executive officer set forth in Rule 10D-1 and the Listing Standards (“</w:t>
      </w:r>
      <w:r>
        <w:rPr>
          <w:rFonts w:ascii="Times New Roman;serif" w:hAnsi="Times New Roman;serif"/>
          <w:b/>
          <w:color w:val="000000"/>
          <w:sz w:val="24"/>
        </w:rPr>
        <w:t>Covered Executives</w:t>
      </w:r>
      <w:r>
        <w:rPr>
          <w:color w:val="000000"/>
        </w:rPr>
        <w:t>”</w:t>
      </w:r>
      <w:r>
        <w:rPr>
          <w:rFonts w:ascii="Times New Roman;serif" w:hAnsi="Times New Roman;serif"/>
          <w:b w:val="false"/>
          <w:color w:val="000000"/>
          <w:sz w:val="24"/>
        </w:rPr>
        <w:t>), and such other employees who may from time to time be deemed subject to the Policy by the Board. For this purpose, an “executive officer” includes the Company’s president, principal financial officer, principal accounting officer (or controller), any vice president in charge of a principal business unit, division or function or any other officer or person who performs a “policy-making” function for the Company.</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Recoupment; Accounting Restatement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the Company is required to prepare an Accounting Restatement, as defined herein, the Board will promptly require reimbursement or forfeiture of any Excess Incentive Compensation, as defined herein, received by any Covered Executive during the three completed fiscal years immediately preceding the date on which the Company is required to prepare an Accounting Restatement, and including any transition period (that results from a change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Company’s fiscal year) within or immediately following those three completed fiscal years, except that a transition period comprising a period of at least nine months shall count as a full fiscal year. The Policy applies to all Incentive-Based Compensation received by a Covered Executive (i) after beginning service as an executive officer; (ii) who served as an executive officer at any time during the performance period for that Incentive-Based Compensation; and (iii) while the Company has a listed class of securities. Recovery of amounts under this Policy with respect to a Covered Executive shall not require the finding of any misconduct by such Covered Executive or that such Covered Executive is responsible for any error associated with an Accounting Restatement.</w:t>
      </w:r>
    </w:p>
    <w:p>
      <w:pPr>
        <w:pStyle w:val="TextBody"/>
        <w:bidi w:val="0"/>
        <w:spacing w:lineRule="auto" w:line="288" w:before="0" w:after="240"/>
        <w:jc w:val="both"/>
        <w:rPr/>
      </w:pPr>
      <w:r>
        <w:rPr>
          <w:rFonts w:ascii="Times New Roman;serif" w:hAnsi="Times New Roman;serif"/>
          <w:b w:val="false"/>
          <w:color w:val="000000"/>
          <w:sz w:val="24"/>
        </w:rPr>
        <w:t>For purposes of this Policy, an “</w:t>
      </w:r>
      <w:r>
        <w:rPr>
          <w:rFonts w:ascii="Times New Roman;serif" w:hAnsi="Times New Roman;serif"/>
          <w:b/>
          <w:color w:val="000000"/>
          <w:sz w:val="24"/>
        </w:rPr>
        <w:t>Accounting Restatement</w:t>
      </w:r>
      <w:r>
        <w:rPr>
          <w:color w:val="000000"/>
        </w:rPr>
        <w:t xml:space="preserve">” </w:t>
      </w:r>
      <w:r>
        <w:rPr>
          <w:rFonts w:ascii="Times New Roman;serif" w:hAnsi="Times New Roman;serif"/>
          <w:b w:val="false"/>
          <w:color w:val="000000"/>
          <w:sz w:val="24"/>
        </w:rPr>
        <w:t xml:space="preserve">means an accounting restatement of the Company’s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Also for purposes of this Policy, the date on which the Company is required to prepare an accounting restatement is the earlier of (i) the date the Board concludes, or reasonably should have concluded, that the Company is required to prepare an Accounting Restatement; or (ii) the date a court, regulator, or other legally authorized body directs the Company to prepare an Accounting Restatement, in each case regardless of whether or when the restated financial statements are filed.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Excess Incentive Compensation: Amount Subject to Recovery</w:t>
      </w:r>
    </w:p>
    <w:p>
      <w:pPr>
        <w:pStyle w:val="TextBody"/>
        <w:bidi w:val="0"/>
        <w:spacing w:lineRule="auto" w:line="288" w:before="0" w:after="240"/>
        <w:jc w:val="both"/>
        <w:rPr/>
      </w:pPr>
      <w:r>
        <w:rPr>
          <w:rFonts w:ascii="Times New Roman;serif" w:hAnsi="Times New Roman;serif"/>
          <w:b w:val="false"/>
          <w:color w:val="000000"/>
          <w:sz w:val="24"/>
        </w:rPr>
        <w:t>The amount subject to recovery (the “</w:t>
      </w:r>
      <w:r>
        <w:rPr>
          <w:rFonts w:ascii="Times New Roman;serif" w:hAnsi="Times New Roman;serif"/>
          <w:b/>
          <w:color w:val="000000"/>
          <w:sz w:val="24"/>
        </w:rPr>
        <w:t>Excess Incentive Compensation</w:t>
      </w:r>
      <w:r>
        <w:rPr>
          <w:color w:val="000000"/>
        </w:rPr>
        <w:t>”</w:t>
      </w:r>
      <w:r>
        <w:rPr>
          <w:rFonts w:ascii="Times New Roman;serif" w:hAnsi="Times New Roman;serif"/>
          <w:b w:val="false"/>
          <w:color w:val="000000"/>
          <w:sz w:val="24"/>
        </w:rPr>
        <w:t>) is the excess of the Incentive-Based Compensation paid to the Covered Executive based on the erroneous data over the Incentive-Based Compensation that would have been paid to the Covered Executive had it been based on the restated results. Excess Incentive Compensation shall be determined by the Board without regard to any taxes paid by the Covered Executive with respect to the Excess Incentive Compensation.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For Incentive-Based Compensation based on stock price or total shareholder return: (i) the Board shall determine the amount of the Excess Incentive Compensation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NYSE. </w:t>
      </w:r>
    </w:p>
    <w:p>
      <w:pPr>
        <w:pStyle w:val="TextBody"/>
        <w:bidi w:val="0"/>
        <w:spacing w:lineRule="auto" w:line="288" w:before="0" w:after="240"/>
        <w:jc w:val="both"/>
        <w:rPr/>
      </w:pPr>
      <w:r>
        <w:rPr>
          <w:color w:val="000000"/>
        </w:rPr>
        <w:t>“</w:t>
      </w:r>
      <w:r>
        <w:rPr>
          <w:rFonts w:ascii="Times New Roman;serif" w:hAnsi="Times New Roman;serif"/>
          <w:b/>
          <w:color w:val="000000"/>
          <w:sz w:val="24"/>
        </w:rPr>
        <w:t>Incentive-Based Compensation</w:t>
      </w:r>
      <w:r>
        <w:rPr>
          <w:color w:val="000000"/>
        </w:rPr>
        <w:t xml:space="preserve">” </w:t>
      </w:r>
      <w:r>
        <w:rPr>
          <w:rFonts w:ascii="Times New Roman;serif" w:hAnsi="Times New Roman;serif"/>
          <w:b w:val="false"/>
          <w:color w:val="000000"/>
          <w:sz w:val="24"/>
        </w:rPr>
        <w:t xml:space="preserve">means any compensation that is granted, earned, or vested based wholly or in part upon the attainment of a Financial Reporting Measure. Incentive-Based Compensation is received for purposes of this Policy in the Company’s fiscal period during which the Financial Reporting Measure specified in the Incentive-Based Compensation award is attained, even if the payment or grant of the Incentive-Based Compensation occurs after the end of that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- 2 -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- 2 -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 “</w:t>
      </w:r>
      <w:r>
        <w:rPr>
          <w:rFonts w:ascii="Times New Roman;serif" w:hAnsi="Times New Roman;serif"/>
          <w:b/>
          <w:color w:val="000000"/>
          <w:sz w:val="24"/>
        </w:rPr>
        <w:t>Financial Reporting Measure</w:t>
      </w:r>
      <w:r>
        <w:rPr>
          <w:color w:val="000000"/>
        </w:rPr>
        <w:t xml:space="preserve">” </w:t>
      </w:r>
      <w:r>
        <w:rPr>
          <w:rFonts w:ascii="Times New Roman;serif" w:hAnsi="Times New Roman;serif"/>
          <w:b w:val="false"/>
          <w:color w:val="000000"/>
          <w:sz w:val="24"/>
        </w:rPr>
        <w:t xml:space="preserve">means any measure that is determined and presented in accordance with the accounting principles used in preparing the Company’s financial statements, and any measure that is derived in whole or in part from such measure. For purposes of this Policy, Financial Reporting Measures include, but are not limited to, the following, and any measures derived from the following: revenues; earnings before interest, taxes, depreciation and amortization; net income; Company stock price; and total shareholder return. A Financial Reporting Measure need not be presented within the Company’s financial statements or included in a filing with the Securities Exchange Commission.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Method of Recoupment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Board shall determine, in its sole discretion, the timing and method for promptly recouping Excess Incentive Compensation, which may include without limitation: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seeking reimbursement of all or part of any cash or equity Incentive-Based Compensation previously paid,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 seeking recovery of any gain realized on the vesting, exercise, settlement, sale, transfer, or other disposition of any equity-based awards,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 cancelling prior cash or equity-based awards, whether vested or unvested or paid or unpaid,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 cancelling or offsetting against any planned future cash or equity-based awards, </w:t>
      </w:r>
    </w:p>
    <w:p>
      <w:pPr>
        <w:pStyle w:val="TextBody"/>
        <w:bidi w:val="0"/>
        <w:spacing w:lineRule="auto" w:line="288" w:before="0" w:after="240"/>
        <w:jc w:val="both"/>
        <w:rPr/>
      </w:pPr>
      <w:r>
        <w:rPr>
          <w:rFonts w:ascii="Times New Roman;serif" w:hAnsi="Times New Roman;serif"/>
          <w:b w:val="false"/>
          <w:color w:val="000000"/>
          <w:sz w:val="24"/>
        </w:rPr>
        <w:t>(e) forfeiture of deferred compensation, subject to compliance with Section 409A of the Internal Revenue Code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xml:space="preserve">) and the regulations promulgated thereunder, and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 any other method authorized by applicable law or contract.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compliance with any applicable law, the Board may recover amounts under this Policy from any amount otherwise payable to the Covered Executive.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is authorized and directed pursuant to this Policy to recoup Excess Incentive Compensation in compliance with this Policy unless the Compensation and Human Capital Committee of the Board has determined that recovery would be impracticable solely for the following limited reasons, and subject to the following procedural and disclosure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direct expense paid to a third party to assist in enforcing the Policy would exceed the amount to be recovered; provided that prior to concluding that it would be impracticable to recover any amount of Excess Incentive Compensation based on expense of enforcement, the Board must make a reasonable attempt to recover such erroneously awarded compensation, document such reasonable attempt(s) to recover and provide that documentation to NYSE;</w:t>
      </w:r>
    </w:p>
    <w:p>
      <w:pPr>
        <w:pStyle w:val="TextBody"/>
        <w:bidi w:val="0"/>
        <w:spacing w:before="0" w:after="0"/>
        <w:jc w:val="both"/>
        <w:rPr/>
      </w:pPr>
      <w:r>
        <w:rPr/>
      </w:r>
    </w:p>
    <w:p>
      <w:pPr>
        <w:pStyle w:val="TextBody"/>
        <w:bidi w:val="0"/>
        <w:spacing w:lineRule="auto" w:line="288"/>
        <w:ind w:left="0" w:right="0" w:hanging="360"/>
        <w:jc w:val="both"/>
        <w:rPr/>
      </w:pPr>
      <w:r>
        <w:rPr>
          <w:color w:val="000000"/>
        </w:rPr>
        <w:t>•</w:t>
      </w:r>
      <w:r>
        <w:rPr>
          <w:rFonts w:ascii="Times New Roman;serif" w:hAnsi="Times New Roman;serif"/>
          <w:b w:val="false"/>
          <w:color w:val="000000"/>
          <w:sz w:val="24"/>
        </w:rPr>
        <w:t xml:space="preserve">Recovery would violate home country law of the Company where that law was adopted prior to November 28, 2022; provided that prior to concluding that it would be impracticable to recover any amount of Excess Incentive Compensation based on violation of home country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- 3 -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- 3 -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law of the issuer, the Board must satisfy the applicable opinion and disclosure requirements of Rule 10D-1 and the Listing Standards; or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No Indemnification of Covered Executives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shall not indemnify any Covered Executives against the loss of any incorrectly awarded Excess Incentive Compensation. The Company is prohibited from paying or reimbursing a Covered Executive for purchasing insurance to cover any such loss.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Board Indemnification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members of the Board or its delegates shall not be personally liable for any action, determination or interpretation made with respect to this Policy and shall be fully indemnified by the Company to the fullest extent under applicable law and Company organizational documents and policy with respect to any such action, determination or interpretation. The foregoing sentence shall not limit any other rights to indemnification of the members of the Board or its delegates under applicable law or Company organizational documents and policy.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Effective Date</w:t>
      </w:r>
    </w:p>
    <w:p>
      <w:pPr>
        <w:pStyle w:val="TextBody"/>
        <w:bidi w:val="0"/>
        <w:spacing w:lineRule="auto" w:line="288" w:before="0" w:after="240"/>
        <w:jc w:val="both"/>
        <w:rPr/>
      </w:pPr>
      <w:r>
        <w:rPr>
          <w:rFonts w:ascii="Times New Roman;serif" w:hAnsi="Times New Roman;serif"/>
          <w:b w:val="false"/>
          <w:color w:val="000000"/>
          <w:sz w:val="24"/>
        </w:rPr>
        <w:t>This Policy shall be effective as of the effective date of the Listing Standards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The terms of this Policy shall apply to any Incentive-Based Compensation that is received by Covered Executives on or after the Effective Date, even if such Incentive-Based Compensation was approved, awarded, granted or paid to Covered Executives prior to the Effective Date.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Amendment and 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Board may amend this Policy from time to time in its discretion and shall amend this Policy as it deems necessary to reflect final regulations adopted by the Securities and Exchange Commission under Section 10D of the Exchange Act, to comply with any rules or standards adopted by NYSE, and to comply with (or maintain an exemption from the application of) Section 409A of the Code. The Board may terminate this Policy at any time.</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Other Recoupment Rights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- 4 -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- 4 -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employment agreement, equity award agreement, or similar agreement and any other legal remedies available to the Company.</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Severability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 </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Governing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This Policy and all rights and obligations hereunder are governed by and construed in accordance with the internal laws of the Commonwealth of Pennsylvania, excluding any choice of law rules or principles that may direct the application of the laws of another jurisdiction. </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Successors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Policy shall be binding and enforceable against all Covered Executives and their beneficiaries, heirs, executors, administrators or other legal representatives.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Exhibit Filing Requirement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copy of this Policy and any amendments thereto shall be posted on the Company’s website and filed as an exhibit to the Company’s annual report on Form 10-K.</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- 5 -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- 5 -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[FOR SIGNATURE BY THE COMPANY’S COVERED EXECUTIVES]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Clawback Policy Acknowledgment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the undersigned, agree and acknowledge that I am fully bound by, and subject to, all of the terms and conditions of the Kennametal Inc. Clawback Policy (as may be amended, restated, supplemented or otherwise modified from time to time, the “Policy”). In the event of any inconsistency between the Policy and the terms of any employment agreement to which I am a party, or the terms of any compensation plan, program or agreement under which any compensation has been granted, awarded, earned or paid, the terms of the Policy shall govern. In the event it is determined by the Board, or such committee thereof that is charged with administration of the Policy, that any amounts granted, awarded, earned or paid to me must be forfeited or reimbursed to the Company, I will promptly take any action necessary to effectuate such forfeiture and/or reimbursement. Any capitalized terms used in this Acknowledgment without definition shall have the meaning set forth in the Policy.</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- 6 -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- 6 -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55242/000005524214000022/kmt93020148kex-3i.htm" TargetMode="External"/><Relationship Id="rId4" Type="http://schemas.openxmlformats.org/officeDocument/2006/relationships/hyperlink" Target="https://www.sec.gov/Archives/edgar/data/55242/000005524216000055/a7262016exhibit101.htm" TargetMode="External"/><Relationship Id="rId5" Type="http://schemas.openxmlformats.org/officeDocument/2006/relationships/hyperlink" Target="https://www.sec.gov/Archives/edgar/data/55242/000095015202004940/j9486701exv4w1.txt" TargetMode="External"/><Relationship Id="rId6" Type="http://schemas.openxmlformats.org/officeDocument/2006/relationships/hyperlink" Target="https://www.sec.gov/Archives/edgar/data/55242/000095015202004940/j9486701exv4w2.txt" TargetMode="External"/><Relationship Id="rId7" Type="http://schemas.openxmlformats.org/officeDocument/2006/relationships/hyperlink" Target="https://www.sec.gov/Archives/edgar/data/55242/000119312512060159/d301651dex41.htm" TargetMode="External"/><Relationship Id="rId8" Type="http://schemas.openxmlformats.org/officeDocument/2006/relationships/hyperlink" Target="https://www.sec.gov/Archives/edgar/data/55242/000119312512060159/d301651dex42.htm" TargetMode="External"/><Relationship Id="rId9" Type="http://schemas.openxmlformats.org/officeDocument/2006/relationships/hyperlink" Target="https://www.sec.gov/Archives/edgar/data/55242/000119312512457088/d433880dex44.htm" TargetMode="External"/><Relationship Id="rId10" Type="http://schemas.openxmlformats.org/officeDocument/2006/relationships/hyperlink" Target="https://www.sec.gov/Archives/edgar/data/55242/000119312518186341/d601936dex41.htm" TargetMode="External"/><Relationship Id="rId11" Type="http://schemas.openxmlformats.org/officeDocument/2006/relationships/hyperlink" Target="https://www.sec.gov/Archives/edgar/data/55242/000119312521052322/d56276dex41.htm" TargetMode="External"/><Relationship Id="rId12" Type="http://schemas.openxmlformats.org/officeDocument/2006/relationships/hyperlink" Target="https://www.sec.gov/Archives/edgar/data/55242/000119312521052322/d56276dex41.htm" TargetMode="External"/><Relationship Id="rId13" Type="http://schemas.openxmlformats.org/officeDocument/2006/relationships/hyperlink" Target="https://www.sec.gov/Archives/edgar/data/55242/000119312526245487/d123329dex41.htm" TargetMode="External"/><Relationship Id="rId14" Type="http://schemas.openxmlformats.org/officeDocument/2006/relationships/hyperlink" Target="https://www.sec.gov/Archives/edgar/data/55242/000119312526245487/d123329dex41.htm" TargetMode="External"/><Relationship Id="rId15" Type="http://schemas.openxmlformats.org/officeDocument/2006/relationships/hyperlink" Target="https://www.sec.gov/Archives/edgar/data/55242/000095015209000967/l35350aexv10w1.htm" TargetMode="External"/><Relationship Id="rId16" Type="http://schemas.openxmlformats.org/officeDocument/2006/relationships/hyperlink" Target="https://www.sec.gov/Archives/edgar/data/55242/000095015209000967/l35350aexv10w2.htm" TargetMode="External"/><Relationship Id="rId17" Type="http://schemas.openxmlformats.org/officeDocument/2006/relationships/hyperlink" Target="https://www.sec.gov/Archives/edgar/data/55242/000095015209000967/l35350aexv10w3.htm" TargetMode="External"/><Relationship Id="rId18" Type="http://schemas.openxmlformats.org/officeDocument/2006/relationships/hyperlink" Target="https://www.sec.gov/Archives/edgar/data/55242/000095015205002375/j1291901exv10w2.htm" TargetMode="External"/><Relationship Id="rId19" Type="http://schemas.openxmlformats.org/officeDocument/2006/relationships/hyperlink" Target="https://www.sec.gov/Archives/edgar/data/55242/000095015209000967/l35350aexv10w8.htm" TargetMode="External"/><Relationship Id="rId20" Type="http://schemas.openxmlformats.org/officeDocument/2006/relationships/hyperlink" Target="https://www.sec.gov/Archives/edgar/data/55242/000119312515029198/d863290dex102.htm" TargetMode="External"/><Relationship Id="rId21" Type="http://schemas.openxmlformats.org/officeDocument/2006/relationships/hyperlink" Target="https://www.sec.gov/Archives/edgar/data/55242/000119312515231797/d946577dex101.htm" TargetMode="External"/><Relationship Id="rId22" Type="http://schemas.openxmlformats.org/officeDocument/2006/relationships/hyperlink" Target="https://www.sec.gov/Archives/edgar/data/55242/000005524218000025/kmt630201810kex1012.htm" TargetMode="External"/><Relationship Id="rId23" Type="http://schemas.openxmlformats.org/officeDocument/2006/relationships/hyperlink" Target="https://www.sec.gov/Archives/edgar/data/55242/000095012311010149/l41583exv10w5.htm" TargetMode="External"/><Relationship Id="rId24" Type="http://schemas.openxmlformats.org/officeDocument/2006/relationships/hyperlink" Target="https://www.sec.gov/Archives/edgar/data/55242/000095012311010149/l41583exv10w6.htm" TargetMode="External"/><Relationship Id="rId25" Type="http://schemas.openxmlformats.org/officeDocument/2006/relationships/hyperlink" Target="https://www.sec.gov/Archives/edgar/data/55242/000119312513368465/d593606ddef14a.htm" TargetMode="External"/><Relationship Id="rId26" Type="http://schemas.openxmlformats.org/officeDocument/2006/relationships/hyperlink" Target="https://www.sec.gov/Archives/edgar/data/55242/000005524214000020/kmt630201410kex1039.htm" TargetMode="External"/><Relationship Id="rId27" Type="http://schemas.openxmlformats.org/officeDocument/2006/relationships/hyperlink" Target="https://www.sec.gov/Archives/edgar/data/55242/000005524214000020/kmt630201410kex1041.htm" TargetMode="External"/><Relationship Id="rId28" Type="http://schemas.openxmlformats.org/officeDocument/2006/relationships/hyperlink" Target="https://www.sec.gov/Archives/edgar/data/55242/000005524214000020/kmt630201410kex1042.htm" TargetMode="External"/><Relationship Id="rId29" Type="http://schemas.openxmlformats.org/officeDocument/2006/relationships/hyperlink" Target="https://www.sec.gov/Archives/edgar/data/55242/000005524214000020/kmt630201410kex1043.htm" TargetMode="External"/><Relationship Id="rId30" Type="http://schemas.openxmlformats.org/officeDocument/2006/relationships/hyperlink" Target="https://www.sec.gov/Archives/edgar/data/55242/000005524214000020/kmt630201410kex1045.htm" TargetMode="External"/><Relationship Id="rId31" Type="http://schemas.openxmlformats.org/officeDocument/2006/relationships/hyperlink" Target="https://www.sec.gov/Archives/edgar/data/55242/000005524214000020/kmt630201410kex1046.htm" TargetMode="External"/><Relationship Id="rId32" Type="http://schemas.openxmlformats.org/officeDocument/2006/relationships/hyperlink" Target="https://www.sec.gov/Archives/edgar/data/55242/000119312515029198/d863290dex101.htm" TargetMode="External"/><Relationship Id="rId33" Type="http://schemas.openxmlformats.org/officeDocument/2006/relationships/hyperlink" Target="https://www.sec.gov/Archives/edgar/data/55242/000119312515029198/d863290dex103.htm" TargetMode="External"/><Relationship Id="rId34" Type="http://schemas.openxmlformats.org/officeDocument/2006/relationships/hyperlink" Target="https://www.sec.gov/Archives/edgar/data/55242/000119312515029198/d863290dex104.htm" TargetMode="External"/><Relationship Id="rId35" Type="http://schemas.openxmlformats.org/officeDocument/2006/relationships/hyperlink" Target="https://www.sec.gov/Archives/edgar/data/55242/000119312515029198/d863290dex105.htm" TargetMode="External"/><Relationship Id="rId36" Type="http://schemas.openxmlformats.org/officeDocument/2006/relationships/hyperlink" Target="https://www.sec.gov/Archives/edgar/data/55242/000119312515029198/d863290dex106.htm" TargetMode="External"/><Relationship Id="rId37" Type="http://schemas.openxmlformats.org/officeDocument/2006/relationships/hyperlink" Target="https://www.sec.gov/Archives/edgar/data/55242/000119312515029198/d863290dex108.htm" TargetMode="External"/><Relationship Id="rId38" Type="http://schemas.openxmlformats.org/officeDocument/2006/relationships/hyperlink" Target="https://www.sec.gov/Archives/edgar/data/55242/000119312515029198/d863290dex109.htm" TargetMode="External"/><Relationship Id="rId39" Type="http://schemas.openxmlformats.org/officeDocument/2006/relationships/hyperlink" Target="https://www.sec.gov/Archives/edgar/data/55242/000119312515029198/d863290dex1010.htm" TargetMode="External"/><Relationship Id="rId40" Type="http://schemas.openxmlformats.org/officeDocument/2006/relationships/hyperlink" Target="https://www.sec.gov/Archives/edgar/data/55242/000119312515029198/d863290dex1012.htm" TargetMode="External"/><Relationship Id="rId41" Type="http://schemas.openxmlformats.org/officeDocument/2006/relationships/hyperlink" Target="https://www.sec.gov/Archives/edgar/data/55242/000005524215000022/kmt63020158kex-101.htm" TargetMode="External"/><Relationship Id="rId42" Type="http://schemas.openxmlformats.org/officeDocument/2006/relationships/hyperlink" Target="https://www.sec.gov/Archives/edgar/data/55242/000005524215000022/kmt63020158kex-103.htm" TargetMode="External"/><Relationship Id="rId43" Type="http://schemas.openxmlformats.org/officeDocument/2006/relationships/hyperlink" Target="https://www.sec.gov/Archives/edgar/data/55242/000005524215000022/kmt63020158kex-105.htm" TargetMode="External"/><Relationship Id="rId44" Type="http://schemas.openxmlformats.org/officeDocument/2006/relationships/hyperlink" Target="https://www.sec.gov/Archives/edgar/data/55242/000005524215000022/kmt63020158kex-106.htm" TargetMode="External"/><Relationship Id="rId45" Type="http://schemas.openxmlformats.org/officeDocument/2006/relationships/hyperlink" Target="https://www.sec.gov/Archives/edgar/data/55242/000005524215000022/kmt63020158kex-107.htm" TargetMode="External"/><Relationship Id="rId46" Type="http://schemas.openxmlformats.org/officeDocument/2006/relationships/hyperlink" Target="https://www.sec.gov/Archives/edgar/data/55242/000005524215000022/kmt63020158kex-109.htm" TargetMode="External"/><Relationship Id="rId47" Type="http://schemas.openxmlformats.org/officeDocument/2006/relationships/hyperlink" Target="https://www.sec.gov/Archives/edgar/data/55242/000005524216000070/kmt930201610-qex101.htm" TargetMode="External"/><Relationship Id="rId48" Type="http://schemas.openxmlformats.org/officeDocument/2006/relationships/hyperlink" Target="https://www.sec.gov/Archives/edgar/data/55242/000005524216000070/kmt930201610-qex104.htm" TargetMode="External"/><Relationship Id="rId49" Type="http://schemas.openxmlformats.org/officeDocument/2006/relationships/hyperlink" Target="https://www.sec.gov/Archives/edgar/data/55242/000005524216000070/kmt930201610-qex105.htm" TargetMode="External"/><Relationship Id="rId50" Type="http://schemas.openxmlformats.org/officeDocument/2006/relationships/hyperlink" Target="https://www.sec.gov/Archives/edgar/data/55242/000005524217000008/kmt1231201610-qex101.htm" TargetMode="External"/><Relationship Id="rId51" Type="http://schemas.openxmlformats.org/officeDocument/2006/relationships/hyperlink" Target="https://www.sec.gov/Archives/edgar/data/55242/000005524217000024/kmt630201710kex1074.htm" TargetMode="External"/><Relationship Id="rId52" Type="http://schemas.openxmlformats.org/officeDocument/2006/relationships/hyperlink" Target="https://www.sec.gov/Archives/edgar/data/55242/000005524217000024/kmt630201710kex1075.htm" TargetMode="External"/><Relationship Id="rId53" Type="http://schemas.openxmlformats.org/officeDocument/2006/relationships/hyperlink" Target="https://www.sec.gov/Archives/edgar/data/55242/000005524217000024/kmt630201710kex1076.htm" TargetMode="External"/><Relationship Id="rId54" Type="http://schemas.openxmlformats.org/officeDocument/2006/relationships/hyperlink" Target="https://www.sec.gov/Archives/edgar/data/55242/000005524219000019/kmt630201910kex1052.htm" TargetMode="External"/><Relationship Id="rId55" Type="http://schemas.openxmlformats.org/officeDocument/2006/relationships/hyperlink" Target="https://www.sec.gov/Archives/edgar/data/55242/000005524217000024/kmt630201710kex1077.htm" TargetMode="External"/><Relationship Id="rId56" Type="http://schemas.openxmlformats.org/officeDocument/2006/relationships/hyperlink" Target="https://www.sec.gov/Archives/edgar/data/55242/000005524219000019/kmt630201910kex1054.htm" TargetMode="External"/><Relationship Id="rId57" Type="http://schemas.openxmlformats.org/officeDocument/2006/relationships/hyperlink" Target="https://www.sec.gov/Archives/edgar/data/55242/000005524217000024/kmt630201710kex1078.htm" TargetMode="External"/><Relationship Id="rId58" Type="http://schemas.openxmlformats.org/officeDocument/2006/relationships/hyperlink" Target="https://www.sec.gov/Archives/edgar/data/55242/000119312517332726/d487710dex101.htm" TargetMode="External"/><Relationship Id="rId59" Type="http://schemas.openxmlformats.org/officeDocument/2006/relationships/hyperlink" Target="https://www.sec.gov/Archives/edgar/data/55242/000119312517332726/d487710dex102.htm" TargetMode="External"/><Relationship Id="rId60" Type="http://schemas.openxmlformats.org/officeDocument/2006/relationships/hyperlink" Target="https://www.sec.gov/Archives/edgar/data/55242/000005524219000019/kmt630201910kex1059.htm" TargetMode="External"/><Relationship Id="rId61" Type="http://schemas.openxmlformats.org/officeDocument/2006/relationships/hyperlink" Target="https://www.sec.gov/Archives/edgar/data/55242/000005524218000025/kmt630201810kex1060.htm" TargetMode="External"/><Relationship Id="rId62" Type="http://schemas.openxmlformats.org/officeDocument/2006/relationships/hyperlink" Target="https://www.sec.gov/Archives/edgar/data/0000055242/000119312522174782/d339302dex101.htm" TargetMode="External"/><Relationship Id="rId63" Type="http://schemas.openxmlformats.org/officeDocument/2006/relationships/hyperlink" Target="https://www.sec.gov/Archives/edgar/data/55242/000005524221000012/kmt1231202010-qex101.htm" TargetMode="External"/><Relationship Id="rId64" Type="http://schemas.openxmlformats.org/officeDocument/2006/relationships/hyperlink" Target="https://www.sec.gov/Archives/edgar/data/55242/000005524221000012/kmt1231202010-qex102.htm" TargetMode="External"/><Relationship Id="rId65" Type="http://schemas.openxmlformats.org/officeDocument/2006/relationships/hyperlink" Target="https://www.sec.gov/Archives/edgar/data/55242/000005524221000012/kmt1231202010-qex103.htm" TargetMode="External"/><Relationship Id="rId66" Type="http://schemas.openxmlformats.org/officeDocument/2006/relationships/hyperlink" Target="https://www.sec.gov/Archives/edgar/data/55242/000005524221000012/kmt1231202010-qex104.htm" TargetMode="External"/><Relationship Id="rId67" Type="http://schemas.openxmlformats.org/officeDocument/2006/relationships/hyperlink" Target="https://www.sec.gov/Archives/edgar/data/55242/000005524221000012/kmt1231202010-qex105.htm" TargetMode="External"/><Relationship Id="rId68" Type="http://schemas.openxmlformats.org/officeDocument/2006/relationships/hyperlink" Target="https://www.sec.gov/Archives/edgar/data/55242/000005524221000012/kmt1231202010-qex106.htm" TargetMode="External"/><Relationship Id="rId69" Type="http://schemas.openxmlformats.org/officeDocument/2006/relationships/hyperlink" Target="https://www.sec.gov/Archives/edgar/data/55242/000005524221000042/kmt630202110kex1065.htm" TargetMode="External"/><Relationship Id="rId70" Type="http://schemas.openxmlformats.org/officeDocument/2006/relationships/hyperlink" Target="https://www.sec.gov/Archives/edgar/data/55242/000119312520245808/d947411ddef14a.htm" TargetMode="External"/><Relationship Id="rId71" Type="http://schemas.openxmlformats.org/officeDocument/2006/relationships/hyperlink" Target="https://www.sec.gov/Archives/edgar/data/55242/000005524223000040/kmt630202310kex1066.htm" TargetMode="External"/><Relationship Id="rId72" Type="http://schemas.openxmlformats.org/officeDocument/2006/relationships/hyperlink" Target="https://www.sec.gov/Archives/edgar/data/55242/000005524224000055/kmt630202410kex1067.htm" TargetMode="External"/><Relationship Id="rId73" Type="http://schemas.openxmlformats.org/officeDocument/2006/relationships/hyperlink" Target="https://www.sec.gov/ix?doc=/Archives/edgar/data/0000055242/000155837024012834/kmt-20241029xdef14a.htm" TargetMode="External"/><Relationship Id="rId74" Type="http://schemas.openxmlformats.org/officeDocument/2006/relationships/hyperlink" Target="https://www.sec.gov/Archives/edgar/data/55242/000119312526253476/d136977dex101.htm" TargetMode="External"/><Relationship Id="rId75" Type="http://schemas.openxmlformats.org/officeDocument/2006/relationships/hyperlink" Target="https://www.sec.gov/Archives/edgar/data/55242/000119312526253476/d136977dex102.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64241</Words>
  <Characters>355990</Characters>
  <CharactersWithSpaces>417022</CharactersWithSpaces>
  <Paragraphs>5385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