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Martin Lorraine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1121 SPRING LAKE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ITASCA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60143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KENNAMETAL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KMT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6,092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31.22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49,161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186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31.22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48,975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35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66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35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2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1,860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1,860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1,933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1,933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1,934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2,299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2,299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4,599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4,965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4,965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4,965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1 for 1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Restricted stock units are subject to time-based vesting and are disbursed in three equal installments commencing on the first anniversary date of the grant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On August 18, 2026, the reporting person filed a Form 4 which inadvertently omitted the vesting of certain restricted stock units. This Form 4/A is being filed to include such vesting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Michelle R. Keating, as attorney-in-fact for Lorraine M. Martin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42926" TargetMode="External"/><Relationship Id="rId5" Type="http://schemas.openxmlformats.org/officeDocument/2006/relationships/hyperlink" Target="http://www.sec.gov/cgi-bin/browse-edgar?action=getcompany&amp;CIK=000005524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695</Words>
  <Characters>3693</Characters>
  <CharactersWithSpaces>4264</CharactersWithSpaces>
  <Paragraphs>152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