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Chowbey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959"/>
        <w:gridCol w:w="439"/>
        <w:gridCol w:w="601"/>
        <w:gridCol w:w="1479"/>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9,322</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140,517.373</w:t>
            </w:r>
            <w:r>
              <w:rPr>
                <w:rFonts w:ascii="Times;serif" w:hAnsi="Times;serif"/>
                <w:color w:val="008000"/>
                <w:position w:val="7"/>
                <w:sz w:val="16"/>
                <w:sz w:val="20"/>
                <w:shd w:fill="FFFFFF" w:val="clear"/>
              </w:rPr>
              <w:t>(2)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13,986</w:t>
            </w:r>
            <w:r>
              <w:rPr>
                <w:rFonts w:ascii="Times;serif" w:hAnsi="Times;serif"/>
                <w:color w:val="008000"/>
                <w:position w:val="7"/>
                <w:sz w:val="16"/>
                <w:sz w:val="20"/>
                <w:shd w:fill="FFFFFF" w:val="clear"/>
              </w:rPr>
              <w:t>(3)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154,503.373</w:t>
            </w:r>
            <w:r>
              <w:rPr>
                <w:rFonts w:ascii="Times;serif" w:hAnsi="Times;serif"/>
                <w:color w:val="008000"/>
                <w:position w:val="7"/>
                <w:sz w:val="16"/>
                <w:sz w:val="20"/>
                <w:shd w:fill="FFFFFF" w:val="clear"/>
              </w:rPr>
              <w:t>(2)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41,062</w:t>
            </w:r>
            <w:r>
              <w:rPr>
                <w:rFonts w:ascii="Times;serif" w:hAnsi="Times;serif"/>
                <w:color w:val="008000"/>
                <w:position w:val="7"/>
                <w:sz w:val="16"/>
                <w:sz w:val="20"/>
                <w:shd w:fill="FFFFFF" w:val="clear"/>
              </w:rPr>
              <w:t>(4)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195,565.373</w:t>
            </w:r>
            <w:r>
              <w:rPr>
                <w:rFonts w:ascii="Times;serif" w:hAnsi="Times;serif"/>
                <w:color w:val="008000"/>
                <w:position w:val="7"/>
                <w:sz w:val="16"/>
                <w:sz w:val="20"/>
                <w:shd w:fill="FFFFFF" w:val="clear"/>
              </w:rPr>
              <w:t>(2)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38,058</w:t>
            </w:r>
            <w:r>
              <w:rPr>
                <w:rFonts w:ascii="Times;serif" w:hAnsi="Times;serif"/>
                <w:color w:val="008000"/>
                <w:position w:val="7"/>
                <w:sz w:val="16"/>
                <w:sz w:val="20"/>
                <w:shd w:fill="FFFFFF" w:val="clear"/>
              </w:rPr>
              <w:t>(5)</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233,623.373</w:t>
            </w:r>
            <w:r>
              <w:rPr>
                <w:rFonts w:ascii="Times;serif" w:hAnsi="Times;serif"/>
                <w:color w:val="008000"/>
                <w:position w:val="7"/>
                <w:sz w:val="16"/>
                <w:sz w:val="20"/>
                <w:shd w:fill="FFFFFF" w:val="clear"/>
              </w:rPr>
              <w:t>(2)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9,322 performance stock units deemed to have been earned by Compensation and Human Capital Committee, the Committee, on July 27, 2026, with respect to the third tranche of the Performance Unit Award relating to adjusted ROIC granted to the reporting person on August 15, 2023, the 2023 Performance Unit Award, under the Kennametal Inc. 2020 Stock and Incentive Plan. On July 27, 2026, the Committee approved adjusted ROIC payout multiple at 200.0 percent for such tranche of the 2023 Performance Unit Award, vesting and actual distribution of these shares remain subject to the reporting persons continued employment with the Company through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540.37 shares held in the Kennametal Inc.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13,986 performance stock units deemed to have been earned by the Committee on July 27,2026, with respect to the tranche of the 2023 Performance Unit Award relating to adjusted EBITDA margin, under the Kennametal Inc. 2020 Stock and Incentive Plan. On July 27,2026, the Committee approved adjusted EBITDA margin payout at 200.0 percent for such tranche of the 2023 Performance Unit Award, vesting and actual distribution of these shares remain subject to the reporting persons continued employment with the Company through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41,062 performance stock units deemed to have been earned by the Committee on July 27, 2026, with respect to the second tranche of the Performance Unit Award relating to adjusted ROIC granted to the reporting person on August 15, 2024, the 2024 Performance Unit Award, under the Kennametal Inc. 2024 Stock and Incentive Plan. On July 27, 2026, the Committee approved adjusted ROIC payout at 200.0 percent for such tranche of the 2024 Performance Unit Award; vesting and actual distribution of these shares remain subject to the reporting persons continued employment with the Company through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38,058 performance stock units deemed to have been earned by the Committee on July 27, 2026, with respect to the first tranche of the Performance Unit Award granted to the reporting person on August 15, 2025, the 2025 Performance Unit Award, under the Kennametal Inc. 2024 Stock and Incentive Plan. On July 27, 2026, the Committee approved adjusted ROIC payout multiple at 200.0 percent for the first tranche of the 2025 Performance Unit Award, vesting and actual distribution of these shares remain subject to the reporting persons continued employment with the Company through August 15,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Sanjay K. Chowbey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2435"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996</Words>
  <Characters>5365</Characters>
  <CharactersWithSpaces>6265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