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Chowbey Sanjay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525 WILLIAM PENN PLACE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KENNAMETAL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5"/>
        <w:gridCol w:w="902"/>
        <w:gridCol w:w="774"/>
        <w:gridCol w:w="599"/>
        <w:gridCol w:w="340"/>
        <w:gridCol w:w="909"/>
        <w:gridCol w:w="432"/>
        <w:gridCol w:w="743"/>
        <w:gridCol w:w="1478"/>
        <w:gridCol w:w="970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44,712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291,551.373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17,594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31.67</w:t>
            </w:r>
          </w:p>
        </w:tc>
        <w:tc>
          <w:tcPr>
            <w:tcW w:w="14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273,957.373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44,712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44,712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540.35 shares held in the Kennametal Inc. 401(k) Plan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Restricted stock units are subject to time-based vesting and are disbursed on the first anniversary date of the grant date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Michelle R. Keating, as attorney-in-fact for Sanjay K. Chowbey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2435" TargetMode="External"/><Relationship Id="rId5" Type="http://schemas.openxmlformats.org/officeDocument/2006/relationships/hyperlink" Target="http://www.sec.gov/cgi-bin/browse-edgar?action=getcompany&amp;CIK=00000552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3384</Characters>
  <CharactersWithSpaces>3922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