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32.gif" ContentType="image/gif"/>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23.jpeg" ContentType="image/jpeg"/>
  <Override PartName="/word/media/image29.jpeg" ContentType="image/jpeg"/>
  <Override PartName="/word/media/image10.jpeg" ContentType="image/jpeg"/>
  <Override PartName="/word/media/image13.jpeg" ContentType="image/jpeg"/>
  <Override PartName="/word/media/image40.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3.gif" ContentType="image/gif"/>
  <Override PartName="/word/media/image8.jpeg" ContentType="image/jpeg"/>
  <Override PartName="/word/media/image39.jpeg" ContentType="image/jpeg"/>
  <Override PartName="/word/media/image34.gif" ContentType="image/gif"/>
  <Override PartName="/word/media/image43.jpeg" ContentType="image/jpeg"/>
  <Override PartName="/word/media/image12.jpeg" ContentType="image/jpeg"/>
  <Override PartName="/word/media/image3.jpeg" ContentType="image/jpeg"/>
  <Override PartName="/word/media/image37.jpeg" ContentType="image/jpeg"/>
  <Override PartName="/word/media/image38.jpeg" ContentType="image/jpeg"/>
  <Override PartName="/word/media/image35.gif" ContentType="image/gif"/>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mt-20261027xdef14a.htm"/>
        <w:bookmarkStart w:id="1" w:name="kskmt20261027xdef14a"/>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36"/>
        </w:rPr>
      </w:pPr>
      <w:bookmarkStart w:id="2" w:name="_82ede3b4_6c34_4cd9_bf32_21e6ebe04f08"/>
      <w:bookmarkEnd w:id="2"/>
      <w:r>
        <w:rPr>
          <w:rFonts w:ascii="Arial;Helvetica;sans-serif" w:hAnsi="Arial;Helvetica;sans-serif"/>
          <w:b/>
          <w:sz w:val="36"/>
        </w:rPr>
        <w:t>UNITED STATES</w:t>
      </w:r>
    </w:p>
    <w:p>
      <w:pPr>
        <w:pStyle w:val="TextBody"/>
        <w:bidi w:val="0"/>
        <w:spacing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bidi w:val="0"/>
        <w:spacing w:before="0" w:after="24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bidi w:val="0"/>
        <w:spacing w:before="0" w:after="12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SCHEDULE 14A</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(Rule 14a-101)</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PROXY STATEMENT PURSUANT TO SECTION 14(a) OF THE</w:t>
      </w:r>
    </w:p>
    <w:p>
      <w:pPr>
        <w:pStyle w:val="TextBody"/>
        <w:bidi w:val="0"/>
        <w:spacing w:before="0" w:after="240"/>
        <w:ind w:left="0" w:right="0" w:hanging="0"/>
        <w:jc w:val="center"/>
        <w:rPr>
          <w:rFonts w:ascii="Arial;Helvetica;sans-serif" w:hAnsi="Arial;Helvetica;sans-serif"/>
          <w:b/>
          <w:sz w:val="24"/>
        </w:rPr>
      </w:pPr>
      <w:r>
        <w:rPr>
          <w:rFonts w:ascii="Arial;Helvetica;sans-serif" w:hAnsi="Arial;Helvetica;sans-serif"/>
          <w:b/>
          <w:sz w:val="24"/>
        </w:rPr>
        <w:t>SECURITIES EXCHANGE ACT OF 1934</w:t>
      </w:r>
    </w:p>
    <w:tbl>
      <w:tblPr>
        <w:tblW w:w="6454" w:type="dxa"/>
        <w:jc w:val="left"/>
        <w:tblInd w:w="0" w:type="dxa"/>
        <w:tblLayout w:type="fixed"/>
        <w:tblCellMar>
          <w:top w:w="0" w:type="dxa"/>
          <w:left w:w="0" w:type="dxa"/>
          <w:bottom w:w="0" w:type="dxa"/>
          <w:right w:w="0" w:type="dxa"/>
        </w:tblCellMar>
      </w:tblPr>
      <w:tblGrid>
        <w:gridCol w:w="2086"/>
        <w:gridCol w:w="316"/>
        <w:gridCol w:w="3691"/>
        <w:gridCol w:w="361"/>
      </w:tblGrid>
      <w:tr>
        <w:trPr/>
        <w:tc>
          <w:tcPr>
            <w:tcW w:w="208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by the Registrant</w:t>
            </w:r>
          </w:p>
        </w:tc>
        <w:tc>
          <w:tcPr>
            <w:tcW w:w="316" w:type="dxa"/>
            <w:tcBorders/>
            <w:vAlign w:val="center"/>
          </w:tcPr>
          <w:p>
            <w:pPr>
              <w:pStyle w:val="TableContents"/>
              <w:bidi w:val="0"/>
              <w:spacing w:before="0" w:after="0"/>
              <w:ind w:left="0" w:right="0" w:hanging="0"/>
              <w:jc w:val="both"/>
              <w:rPr/>
            </w:pPr>
            <w:r>
              <w:rPr/>
              <w:t>☒</w:t>
            </w:r>
          </w:p>
        </w:tc>
        <w:tc>
          <w:tcPr>
            <w:tcW w:w="3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Filed by a Party other than the Registrant</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Check the appropriate box:</w:t>
      </w:r>
    </w:p>
    <w:tbl>
      <w:tblPr>
        <w:tblW w:w="7862" w:type="dxa"/>
        <w:jc w:val="left"/>
        <w:tblInd w:w="0" w:type="dxa"/>
        <w:tblLayout w:type="fixed"/>
        <w:tblCellMar>
          <w:top w:w="0" w:type="dxa"/>
          <w:left w:w="0" w:type="dxa"/>
          <w:bottom w:w="0" w:type="dxa"/>
          <w:right w:w="0" w:type="dxa"/>
        </w:tblCellMar>
      </w:tblPr>
      <w:tblGrid>
        <w:gridCol w:w="331"/>
        <w:gridCol w:w="753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782185" cy="175260"/>
                      <wp:effectExtent l="0" t="0" r="0" b="0"/>
                      <wp:wrapNone/>
                      <wp:docPr id="2" name="Frame2"/>
                      <a:graphic xmlns:a="http://schemas.openxmlformats.org/drawingml/2006/main">
                        <a:graphicData uri="http://schemas.microsoft.com/office/word/2010/wordprocessingShape">
                          <wps:wsp>
                            <wps:cNvSpPr txBox="1"/>
                            <wps:spPr>
                              <a:xfrm>
                                <a:off x="0" y="0"/>
                                <a:ext cx="478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Preliminary Proxy Statement</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Confidential, For Use of the Commission Only (as permitted by Rule 14a-6(e)(2))</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Definitive Proxy Statement</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Definitive Additional Materials</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Soliciting Material Pursuant to § 240.14a-12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44"/>
        </w:rPr>
      </w:pPr>
      <w:r>
        <w:rPr>
          <w:rFonts w:ascii="Arial;Helvetica;sans-serif" w:hAnsi="Arial;Helvetica;sans-serif"/>
          <w:b/>
          <w:sz w:val="44"/>
        </w:rPr>
        <w:t>KENNAMETAL INC.</w:t>
      </w:r>
    </w:p>
    <w:p>
      <w:pPr>
        <w:pStyle w:val="TextBody"/>
        <w:bidi w:val="0"/>
        <w:spacing w:before="0" w:after="360"/>
        <w:ind w:left="0" w:right="0" w:hanging="0"/>
        <w:jc w:val="center"/>
        <w:rPr>
          <w:rFonts w:ascii="Arial;Helvetica;sans-serif" w:hAnsi="Arial;Helvetica;sans-serif"/>
          <w:b/>
          <w:sz w:val="20"/>
        </w:rPr>
      </w:pPr>
      <w:r>
        <w:rPr>
          <w:rFonts w:ascii="Arial;Helvetica;sans-serif" w:hAnsi="Arial;Helvetica;sans-serif"/>
          <w:b/>
          <w:sz w:val="20"/>
        </w:rPr>
        <w:t>(Name of Registrant as Specified in Its Charter)</w:t>
      </w:r>
    </w:p>
    <w:p>
      <w:pPr>
        <w:pStyle w:val="TextBody"/>
        <w:bidi w:val="0"/>
        <w:spacing w:before="480" w:after="240"/>
        <w:ind w:left="0" w:right="0" w:hanging="0"/>
        <w:jc w:val="center"/>
        <w:rPr>
          <w:rFonts w:ascii="Arial;Helvetica;sans-serif" w:hAnsi="Arial;Helvetica;sans-serif"/>
          <w:b/>
          <w:sz w:val="20"/>
        </w:rPr>
      </w:pPr>
      <w:r>
        <w:rPr>
          <w:rFonts w:ascii="Arial;Helvetica;sans-serif" w:hAnsi="Arial;Helvetica;sans-serif"/>
          <w:b/>
          <w:sz w:val="20"/>
        </w:rPr>
        <w:t>(Name of Person(s) Filing Proxy Statement, if Other Than the Registrant)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Payment of Filing Fee (Check all boxes that apply):</w:t>
      </w:r>
    </w:p>
    <w:tbl>
      <w:tblPr>
        <w:tblW w:w="9257" w:type="dxa"/>
        <w:jc w:val="left"/>
        <w:tblInd w:w="0" w:type="dxa"/>
        <w:tblLayout w:type="fixed"/>
        <w:tblCellMar>
          <w:top w:w="0" w:type="dxa"/>
          <w:left w:w="0" w:type="dxa"/>
          <w:bottom w:w="0" w:type="dxa"/>
          <w:right w:w="0" w:type="dxa"/>
        </w:tblCellMar>
      </w:tblPr>
      <w:tblGrid>
        <w:gridCol w:w="331"/>
        <w:gridCol w:w="892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668010" cy="175260"/>
                      <wp:effectExtent l="0" t="0" r="0" b="0"/>
                      <wp:wrapNone/>
                      <wp:docPr id="4" name="Frame4"/>
                      <a:graphic xmlns:a="http://schemas.openxmlformats.org/drawingml/2006/main">
                        <a:graphicData uri="http://schemas.microsoft.com/office/word/2010/wordprocessingShape">
                          <wps:wsp>
                            <wps:cNvSpPr txBox="1"/>
                            <wps:spPr>
                              <a:xfrm>
                                <a:off x="0" y="0"/>
                                <a:ext cx="566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89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 fee required.</w:t>
            </w:r>
          </w:p>
        </w:tc>
      </w:tr>
      <w:tr>
        <w:trPr/>
        <w:tc>
          <w:tcPr>
            <w:tcW w:w="331" w:type="dxa"/>
            <w:tcBorders/>
            <w:vAlign w:val="center"/>
          </w:tcPr>
          <w:p>
            <w:pPr>
              <w:pStyle w:val="TableContents"/>
              <w:bidi w:val="0"/>
              <w:spacing w:before="0" w:after="0"/>
              <w:ind w:left="0" w:right="0" w:hanging="0"/>
              <w:jc w:val="left"/>
              <w:rPr/>
            </w:pPr>
            <w:r>
              <w:rPr/>
              <w:t>​</w:t>
            </w:r>
          </w:p>
        </w:tc>
        <w:tc>
          <w:tcPr>
            <w:tcW w:w="892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89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Fee paid previously with preliminary materials:</w:t>
            </w:r>
          </w:p>
        </w:tc>
      </w:tr>
      <w:tr>
        <w:trPr/>
        <w:tc>
          <w:tcPr>
            <w:tcW w:w="331" w:type="dxa"/>
            <w:tcBorders/>
            <w:vAlign w:val="center"/>
          </w:tcPr>
          <w:p>
            <w:pPr>
              <w:pStyle w:val="TableContents"/>
              <w:bidi w:val="0"/>
              <w:spacing w:before="0" w:after="0"/>
              <w:ind w:left="0" w:right="0" w:hanging="0"/>
              <w:jc w:val="left"/>
              <w:rPr/>
            </w:pPr>
            <w:r>
              <w:rPr/>
              <w:t>​</w:t>
            </w:r>
          </w:p>
        </w:tc>
        <w:tc>
          <w:tcPr>
            <w:tcW w:w="892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89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6492240" cy="834644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492240" cy="834644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32"/>
        </w:rPr>
      </w:pPr>
      <w:bookmarkStart w:id="3" w:name="_2cfddf50_cf3f_4c58_8e88_0c96c95b91f6"/>
      <w:bookmarkEnd w:id="3"/>
      <w:r>
        <w:rPr>
          <w:rFonts w:ascii="Arial;Helvetica;sans-serif" w:hAnsi="Arial;Helvetica;sans-serif"/>
          <w:b/>
          <w:sz w:val="32"/>
        </w:rPr>
        <w:t>A MESSAGE FROM OUR BOARD OF DIRECTORS</w:t>
      </w:r>
    </w:p>
    <w:p>
      <w:pPr>
        <w:pStyle w:val="TextBody"/>
        <w:bidi w:val="0"/>
        <w:spacing w:before="0" w:after="240"/>
        <w:ind w:left="0" w:right="0" w:hanging="0"/>
        <w:jc w:val="right"/>
        <w:rPr>
          <w:rFonts w:ascii="Arial;Helvetica;sans-serif" w:hAnsi="Arial;Helvetica;sans-serif"/>
          <w:sz w:val="20"/>
        </w:rPr>
      </w:pPr>
      <w:r>
        <w:rPr>
          <w:rFonts w:ascii="Arial;Helvetica;sans-serif" w:hAnsi="Arial;Helvetica;sans-serif"/>
          <w:sz w:val="20"/>
        </w:rPr>
        <w:t>September 14, 2026</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Dear Fellow Shareholders,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Please accept our invitation to the Kennametal Annual Shareholder Meeting on October 27, 2026, at 2:00 p.m. Eastern Time. The meeting will once again be held virtually via live audio webcast.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Annual Meeting will include consideration of the matters included in the Notice of Annual Meeting and Proxy Statement. Every shareholder’s vote is important, so if you cannot attend the virtual meeting live, please see the Notice of Annual Meeting of Shareowners for details on voting.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Board of Directors remains committed to strong corporate governance, ethical conduct, and disciplined global compliance practices. We believe these principles are essential to serving the  best interests of our shareholders and in supporting the continued and long-term success of the company.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This meeting will also mark an important Board leadership transition, whereas Joseph Alvarado will become our next Chairman of the Board, succeeding William Lambert who is retiring next month. This planned transition reflects our commitment to thoughtful succession planning and continuity of leadership as Kennametal continues to execute our strategy.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behalf of the Board of Directors, we thank you for your continued support of Kennametal and look forward to connecting at the meeting.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Sincerely,</w:t>
      </w:r>
    </w:p>
    <w:tbl>
      <w:tblPr>
        <w:tblW w:w="5834" w:type="dxa"/>
        <w:jc w:val="left"/>
        <w:tblInd w:w="0" w:type="dxa"/>
        <w:tblLayout w:type="fixed"/>
        <w:tblCellMar>
          <w:top w:w="0" w:type="dxa"/>
          <w:left w:w="0" w:type="dxa"/>
          <w:bottom w:w="0" w:type="dxa"/>
          <w:right w:w="0" w:type="dxa"/>
        </w:tblCellMar>
      </w:tblPr>
      <w:tblGrid>
        <w:gridCol w:w="124"/>
        <w:gridCol w:w="3391"/>
        <w:gridCol w:w="109"/>
        <w:gridCol w:w="2056"/>
        <w:gridCol w:w="154"/>
      </w:tblGrid>
      <w:tr>
        <w:trPr/>
        <w:tc>
          <w:tcPr>
            <w:tcW w:w="124"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center"/>
              <w:rPr/>
            </w:pPr>
            <w:r>
              <w:rPr/>
              <w:drawing>
                <wp:inline distT="0" distB="0" distL="0" distR="0">
                  <wp:extent cx="1234440" cy="27432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234440" cy="274320"/>
                          </a:xfrm>
                          <a:prstGeom prst="rect">
                            <a:avLst/>
                          </a:prstGeom>
                        </pic:spPr>
                      </pic:pic>
                    </a:graphicData>
                  </a:graphic>
                </wp:inline>
              </w:drawing>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pPr>
            <w:r>
              <w:rPr/>
              <w:drawing>
                <wp:inline distT="0" distB="0" distL="0" distR="0">
                  <wp:extent cx="1078865" cy="4572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78865" cy="457200"/>
                          </a:xfrm>
                          <a:prstGeom prst="rect">
                            <a:avLst/>
                          </a:prstGeom>
                        </pic:spPr>
                      </pic:pic>
                    </a:graphicData>
                  </a:graphic>
                </wp:inline>
              </w:drawing>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Sanjay Chowbey</w:t>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William Lambert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President and Chief Executive Officer</w:t>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Chairman of the Board</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center"/>
              <w:rPr/>
            </w:pPr>
            <w:r>
              <w:rPr/>
              <w:drawing>
                <wp:inline distT="0" distB="0" distL="0" distR="0">
                  <wp:extent cx="989330" cy="98933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89330" cy="989330"/>
                          </a:xfrm>
                          <a:prstGeom prst="rect">
                            <a:avLst/>
                          </a:prstGeom>
                        </pic:spPr>
                      </pic:pic>
                    </a:graphicData>
                  </a:graphic>
                </wp:inline>
              </w:drawing>
            </w:r>
          </w:p>
        </w:tc>
        <w:tc>
          <w:tcPr>
            <w:tcW w:w="109"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pPr>
            <w:r>
              <w:rPr/>
              <w:drawing>
                <wp:inline distT="0" distB="0" distL="0" distR="0">
                  <wp:extent cx="902335" cy="126174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02335" cy="1261745"/>
                          </a:xfrm>
                          <a:prstGeom prst="rect">
                            <a:avLst/>
                          </a:prstGeom>
                        </pic:spPr>
                      </pic:pic>
                    </a:graphicData>
                  </a:graphic>
                </wp:inline>
              </w:drawing>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240"/>
        <w:ind w:left="0" w:right="0" w:hanging="0"/>
        <w:jc w:val="both"/>
        <w:rPr/>
      </w:pPr>
      <w:r>
        <w:rPr/>
        <w:t>​</w:t>
      </w:r>
    </w:p>
    <w:p>
      <w:pPr>
        <w:pStyle w:val="TextBody"/>
        <w:pBdr>
          <w:bottom w:val="single" w:sz="12" w:space="1" w:color="FFCD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pPr>
      <w:bookmarkStart w:id="4" w:name="_7a0e79d1_b289_4098_8e32_dd5caaa9710b"/>
      <w:bookmarkEnd w:id="4"/>
      <w:r>
        <w:rPr/>
        <w:drawing>
          <wp:inline distT="0" distB="0" distL="0" distR="0">
            <wp:extent cx="3017520" cy="56705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3017520" cy="567055"/>
                    </a:xfrm>
                    <a:prstGeom prst="rect">
                      <a:avLst/>
                    </a:prstGeom>
                  </pic:spPr>
                </pic:pic>
              </a:graphicData>
            </a:graphic>
          </wp:inline>
        </w:drawing>
      </w:r>
    </w:p>
    <w:p>
      <w:pPr>
        <w:pStyle w:val="TextBody"/>
        <w:bidi w:val="0"/>
        <w:spacing w:before="0" w:after="120"/>
        <w:ind w:left="0" w:right="0" w:hanging="0"/>
        <w:jc w:val="left"/>
        <w:rPr>
          <w:rFonts w:ascii="Arial;Helvetica;sans-serif" w:hAnsi="Arial;Helvetica;sans-serif"/>
          <w:b/>
          <w:sz w:val="52"/>
        </w:rPr>
      </w:pPr>
      <w:r>
        <w:rPr>
          <w:rFonts w:ascii="Arial;Helvetica;sans-serif" w:hAnsi="Arial;Helvetica;sans-serif"/>
          <w:b/>
          <w:sz w:val="52"/>
        </w:rPr>
        <w:t>Notice of Annual Meeting of Shareowners</w:t>
      </w:r>
    </w:p>
    <w:tbl>
      <w:tblPr>
        <w:tblW w:w="10205" w:type="dxa"/>
        <w:jc w:val="left"/>
        <w:tblInd w:w="0" w:type="dxa"/>
        <w:tblLayout w:type="fixed"/>
        <w:tblCellMar>
          <w:top w:w="0" w:type="dxa"/>
          <w:left w:w="0" w:type="dxa"/>
          <w:bottom w:w="0" w:type="dxa"/>
          <w:right w:w="0" w:type="dxa"/>
        </w:tblCellMar>
      </w:tblPr>
      <w:tblGrid>
        <w:gridCol w:w="1068"/>
        <w:gridCol w:w="9137"/>
      </w:tblGrid>
      <w:tr>
        <w:trPr/>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78180" cy="175260"/>
                      <wp:effectExtent l="0" t="0" r="0" b="0"/>
                      <wp:wrapNone/>
                      <wp:docPr id="11" name="Frame5"/>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801995" cy="175260"/>
                      <wp:effectExtent l="0" t="0" r="0" b="0"/>
                      <wp:wrapNone/>
                      <wp:docPr id="12" name="Frame6"/>
                      <a:graphic xmlns:a="http://schemas.openxmlformats.org/drawingml/2006/main">
                        <a:graphicData uri="http://schemas.microsoft.com/office/word/2010/wordprocessingShape">
                          <wps:wsp>
                            <wps:cNvSpPr txBox="1"/>
                            <wps:spPr>
                              <a:xfrm>
                                <a:off x="0" y="0"/>
                                <a:ext cx="580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8" w:type="dxa"/>
            <w:tcBorders/>
            <w:shd w:fill="FFF5CC" w:val="clear"/>
            <w:vAlign w:val="center"/>
          </w:tcPr>
          <w:p>
            <w:pPr>
              <w:pStyle w:val="TableContents"/>
              <w:bidi w:val="0"/>
              <w:spacing w:before="0" w:after="0"/>
              <w:ind w:left="0" w:right="0" w:hanging="0"/>
              <w:jc w:val="left"/>
              <w:rPr/>
            </w:pPr>
            <w:r>
              <w:rPr/>
              <w:t>​</w:t>
            </w:r>
          </w:p>
        </w:tc>
        <w:tc>
          <w:tcPr>
            <w:tcW w:w="9137" w:type="dxa"/>
            <w:tcBorders/>
            <w:shd w:fill="FFF5CC" w:val="clear"/>
            <w:vAlign w:val="center"/>
          </w:tcPr>
          <w:p>
            <w:pPr>
              <w:pStyle w:val="TableContents"/>
              <w:bidi w:val="0"/>
              <w:spacing w:before="0" w:after="0"/>
              <w:ind w:left="0" w:right="0" w:hanging="0"/>
              <w:jc w:val="left"/>
              <w:rPr/>
            </w:pPr>
            <w:r>
              <w:rPr/>
              <w:t>​</w:t>
            </w:r>
          </w:p>
        </w:tc>
      </w:tr>
      <w:tr>
        <w:trPr/>
        <w:tc>
          <w:tcPr>
            <w:tcW w:w="1068" w:type="dxa"/>
            <w:tcBorders/>
            <w:shd w:fill="FFF5CC"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When:</w:t>
            </w:r>
          </w:p>
        </w:tc>
        <w:tc>
          <w:tcPr>
            <w:tcW w:w="9137" w:type="dxa"/>
            <w:tcBorders/>
            <w:shd w:fill="FFF5CC"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2:00 p.m. (Eastern Time) on Tuesday, October 27, 2026</w:t>
            </w:r>
          </w:p>
        </w:tc>
      </w:tr>
      <w:tr>
        <w:trPr/>
        <w:tc>
          <w:tcPr>
            <w:tcW w:w="1068" w:type="dxa"/>
            <w:tcBorders/>
            <w:shd w:fill="FFF5CC" w:val="clear"/>
            <w:vAlign w:val="center"/>
          </w:tcPr>
          <w:p>
            <w:pPr>
              <w:pStyle w:val="TableContents"/>
              <w:bidi w:val="0"/>
              <w:spacing w:before="0" w:after="0"/>
              <w:ind w:left="0" w:right="0" w:hanging="0"/>
              <w:jc w:val="left"/>
              <w:rPr/>
            </w:pPr>
            <w:r>
              <w:rPr/>
              <w:t>​</w:t>
            </w:r>
          </w:p>
        </w:tc>
        <w:tc>
          <w:tcPr>
            <w:tcW w:w="9137" w:type="dxa"/>
            <w:tcBorders/>
            <w:shd w:fill="FFF5CC" w:val="clear"/>
            <w:vAlign w:val="center"/>
          </w:tcPr>
          <w:p>
            <w:pPr>
              <w:pStyle w:val="TableContents"/>
              <w:bidi w:val="0"/>
              <w:spacing w:before="0" w:after="0"/>
              <w:ind w:left="0" w:right="0" w:hanging="0"/>
              <w:jc w:val="left"/>
              <w:rPr/>
            </w:pPr>
            <w:r>
              <w:rPr/>
              <w:t>​</w:t>
            </w:r>
          </w:p>
        </w:tc>
      </w:tr>
      <w:tr>
        <w:trPr/>
        <w:tc>
          <w:tcPr>
            <w:tcW w:w="1068" w:type="dxa"/>
            <w:tcBorders/>
            <w:shd w:fill="FFF5CC"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Where:</w:t>
            </w:r>
          </w:p>
        </w:tc>
        <w:tc>
          <w:tcPr>
            <w:tcW w:w="9137" w:type="dxa"/>
            <w:tcBorders/>
            <w:shd w:fill="FFF5CC"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Virtually, via live audio webcast at www.virtualshareholdermeeting.com/KMT2026</w:t>
            </w:r>
          </w:p>
        </w:tc>
      </w:tr>
      <w:tr>
        <w:trPr/>
        <w:tc>
          <w:tcPr>
            <w:tcW w:w="1068" w:type="dxa"/>
            <w:tcBorders/>
            <w:shd w:fill="FFF5CC" w:val="clear"/>
            <w:vAlign w:val="center"/>
          </w:tcPr>
          <w:p>
            <w:pPr>
              <w:pStyle w:val="TableContents"/>
              <w:bidi w:val="0"/>
              <w:spacing w:before="0" w:after="0"/>
              <w:ind w:left="0" w:right="0" w:hanging="0"/>
              <w:jc w:val="left"/>
              <w:rPr/>
            </w:pPr>
            <w:r>
              <w:rPr/>
              <w:t>​</w:t>
            </w:r>
          </w:p>
        </w:tc>
        <w:tc>
          <w:tcPr>
            <w:tcW w:w="9137" w:type="dxa"/>
            <w:tcBorders/>
            <w:shd w:fill="FFF5CC" w:val="clear"/>
            <w:vAlign w:val="center"/>
          </w:tcPr>
          <w:p>
            <w:pPr>
              <w:pStyle w:val="TableContents"/>
              <w:bidi w:val="0"/>
              <w:spacing w:before="0" w:after="0"/>
              <w:ind w:left="0" w:right="0" w:hanging="0"/>
              <w:jc w:val="left"/>
              <w:rPr/>
            </w:pPr>
            <w:r>
              <w:rPr/>
              <w:t>​</w:t>
            </w:r>
          </w:p>
        </w:tc>
      </w:tr>
      <w:tr>
        <w:trPr/>
        <w:tc>
          <w:tcPr>
            <w:tcW w:w="1068" w:type="dxa"/>
            <w:tcBorders/>
            <w:shd w:fill="FFF5CC"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Record Date:</w:t>
            </w:r>
          </w:p>
        </w:tc>
        <w:tc>
          <w:tcPr>
            <w:tcW w:w="9137" w:type="dxa"/>
            <w:tcBorders/>
            <w:shd w:fill="FFF5CC" w:val="clear"/>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Friday, August 28, 2026 (Only shareowners of record at the close of business on the Record Date are entitled to notice of, and to vote at, the Annual Meeting.)</w:t>
            </w:r>
          </w:p>
        </w:tc>
      </w:tr>
      <w:tr>
        <w:trPr/>
        <w:tc>
          <w:tcPr>
            <w:tcW w:w="1068" w:type="dxa"/>
            <w:tcBorders/>
            <w:shd w:fill="FFF5CC" w:val="clear"/>
            <w:vAlign w:val="center"/>
          </w:tcPr>
          <w:p>
            <w:pPr>
              <w:pStyle w:val="TableContents"/>
              <w:bidi w:val="0"/>
              <w:spacing w:before="0" w:after="0"/>
              <w:ind w:left="0" w:right="0" w:hanging="0"/>
              <w:jc w:val="left"/>
              <w:rPr/>
            </w:pPr>
            <w:r>
              <w:rPr/>
              <w:t>​</w:t>
            </w:r>
          </w:p>
        </w:tc>
        <w:tc>
          <w:tcPr>
            <w:tcW w:w="9137" w:type="dxa"/>
            <w:tcBorders/>
            <w:shd w:fill="FFF5CC"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32"/>
        </w:rPr>
      </w:pPr>
      <w:r>
        <w:rPr>
          <w:rFonts w:ascii="Arial;Helvetica;sans-serif" w:hAnsi="Arial;Helvetica;sans-serif"/>
          <w:sz w:val="32"/>
        </w:rPr>
        <w:t>Agenda</w:t>
      </w:r>
    </w:p>
    <w:p>
      <w:pPr>
        <w:pStyle w:val="TextBody"/>
        <w:pBdr>
          <w:bottom w:val="single" w:sz="8" w:space="1" w:color="FFCD00"/>
        </w:pBdr>
        <w:bidi w:val="0"/>
        <w:spacing w:before="0" w:after="240"/>
        <w:ind w:left="0" w:right="0" w:hanging="0"/>
        <w:jc w:val="left"/>
        <w:rPr/>
      </w:pPr>
      <w:r>
        <w:rPr/>
        <w:t>​</w:t>
      </w:r>
    </w:p>
    <w:p>
      <w:pPr>
        <w:pStyle w:val="TextBody"/>
        <w:bidi w:val="0"/>
        <w:spacing w:before="0" w:after="120"/>
        <w:ind w:left="0" w:right="0" w:hanging="0"/>
        <w:jc w:val="both"/>
        <w:rPr>
          <w:rFonts w:ascii="Arial;Helvetica;sans-serif" w:hAnsi="Arial;Helvetica;sans-serif"/>
          <w:b/>
          <w:sz w:val="20"/>
        </w:rPr>
      </w:pPr>
      <w:r>
        <w:rPr>
          <w:rFonts w:ascii="Arial;Helvetica;sans-serif" w:hAnsi="Arial;Helvetica;sans-serif"/>
          <w:b/>
          <w:sz w:val="20"/>
        </w:rPr>
        <w:t>The Annual Meeting of Shareowners (“Annual Meeting”) will be held to consider and act upon the following matters:</w:t>
      </w:r>
    </w:p>
    <w:tbl>
      <w:tblPr>
        <w:tblW w:w="5357" w:type="dxa"/>
        <w:jc w:val="left"/>
        <w:tblInd w:w="0" w:type="dxa"/>
        <w:tblLayout w:type="fixed"/>
        <w:tblCellMar>
          <w:top w:w="0" w:type="dxa"/>
          <w:left w:w="0" w:type="dxa"/>
          <w:bottom w:w="0" w:type="dxa"/>
          <w:right w:w="0" w:type="dxa"/>
        </w:tblCellMar>
      </w:tblPr>
      <w:tblGrid>
        <w:gridCol w:w="286"/>
        <w:gridCol w:w="507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w:t>
            </w:r>
          </w:p>
        </w:tc>
        <w:tc>
          <w:tcPr>
            <w:tcW w:w="50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election of nine directors for terms to expire in 2027;</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w:t>
            </w:r>
          </w:p>
        </w:tc>
        <w:tc>
          <w:tcPr>
            <w:tcW w:w="99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ratification of PricewaterhouseCoopers LLP as our independent registered public accounting firm for the fiscal year ending June 30, 2027; and</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non-binding (advisory) vote to approve the compensation paid to the Company’s named executive officers, as disclosed in this Proxy Statement. </w:t>
            </w:r>
          </w:p>
        </w:tc>
      </w:tr>
    </w:tbl>
    <w:p>
      <w:pPr>
        <w:pStyle w:val="TextBody"/>
        <w:bidi w:val="0"/>
        <w:spacing w:before="0" w:after="200"/>
        <w:ind w:left="504" w:right="0" w:hanging="0"/>
        <w:jc w:val="both"/>
        <w:rPr>
          <w:rFonts w:ascii="Arial;Helvetica;sans-serif" w:hAnsi="Arial;Helvetica;sans-serif"/>
          <w:sz w:val="20"/>
        </w:rPr>
      </w:pPr>
      <w:r>
        <w:rPr>
          <w:rFonts w:ascii="Arial;Helvetica;sans-serif" w:hAnsi="Arial;Helvetica;sans-serif"/>
          <w:sz w:val="20"/>
        </w:rPr>
        <w:t>Shareowners also will be asked to consider such other business as may properly come before the meeting. The Board of Directors has fixed Friday, August 28, 2026, as the record date (the “Record Date”). Only shareowners of record at the close of business on the Record Date are entitled to notice of, and to vote at, the Annual Meeting.</w:t>
      </w:r>
    </w:p>
    <w:p>
      <w:pPr>
        <w:pStyle w:val="TextBody"/>
        <w:bidi w:val="0"/>
        <w:spacing w:before="0" w:after="0"/>
        <w:ind w:left="0" w:right="0" w:hanging="0"/>
        <w:jc w:val="both"/>
        <w:rPr>
          <w:rFonts w:ascii="Arial;Helvetica;sans-serif" w:hAnsi="Arial;Helvetica;sans-serif"/>
          <w:sz w:val="32"/>
        </w:rPr>
      </w:pPr>
      <w:r>
        <w:rPr>
          <w:rFonts w:ascii="Arial;Helvetica;sans-serif" w:hAnsi="Arial;Helvetica;sans-serif"/>
          <w:sz w:val="32"/>
        </w:rPr>
        <w:t>How to Vote</w:t>
      </w:r>
    </w:p>
    <w:p>
      <w:pPr>
        <w:pStyle w:val="TextBody"/>
        <w:pBdr>
          <w:bottom w:val="single" w:sz="8" w:space="1" w:color="FFCD00"/>
        </w:pBdr>
        <w:bidi w:val="0"/>
        <w:spacing w:before="0" w:after="240"/>
        <w:ind w:left="0" w:right="0" w:hanging="0"/>
        <w:jc w:val="left"/>
        <w:rPr/>
      </w:pPr>
      <w:r>
        <w:rPr/>
        <w:t>​</w:t>
      </w:r>
    </w:p>
    <w:p>
      <w:pPr>
        <w:pStyle w:val="TextBody"/>
        <w:bidi w:val="0"/>
        <w:spacing w:before="0" w:after="180"/>
        <w:ind w:left="0" w:right="0" w:hanging="0"/>
        <w:jc w:val="both"/>
        <w:rPr>
          <w:rFonts w:ascii="Arial;Helvetica;sans-serif" w:hAnsi="Arial;Helvetica;sans-serif"/>
          <w:sz w:val="20"/>
        </w:rPr>
      </w:pPr>
      <w:r>
        <w:rPr>
          <w:rFonts w:ascii="Arial;Helvetica;sans-serif" w:hAnsi="Arial;Helvetica;sans-serif"/>
          <w:sz w:val="20"/>
        </w:rPr>
        <w:t>We are utilizing a U.S. Securities and Exchange Commission Rule that allows companies to furnish their proxy materials over the Internet rather than in paper form. We believe that this delivery process will reduce our environmental impact, and over time, lower the costs of printing and distributing our proxy materials. We believe that we can achieve these benefits with no impact on our shareowners’ timely access to this important information. If you have received a Notice, and you would prefer to receive proxy materials (including a proxy card) in printed form by mail or electronically by email, please follow the instructions contained in the Notice.</w:t>
      </w:r>
    </w:p>
    <w:tbl>
      <w:tblPr>
        <w:tblW w:w="2556" w:type="dxa"/>
        <w:jc w:val="left"/>
        <w:tblInd w:w="0" w:type="dxa"/>
        <w:tblLayout w:type="fixed"/>
        <w:tblCellMar>
          <w:top w:w="0" w:type="dxa"/>
          <w:left w:w="0" w:type="dxa"/>
          <w:bottom w:w="0" w:type="dxa"/>
          <w:right w:w="0" w:type="dxa"/>
        </w:tblCellMar>
      </w:tblPr>
      <w:tblGrid>
        <w:gridCol w:w="704"/>
        <w:gridCol w:w="477"/>
        <w:gridCol w:w="594"/>
        <w:gridCol w:w="781"/>
      </w:tblGrid>
      <w:tr>
        <w:trPr/>
        <w:tc>
          <w:tcPr>
            <w:tcW w:w="704" w:type="dxa"/>
            <w:tcBorders/>
            <w:vAlign w:val="center"/>
          </w:tcPr>
          <w:p>
            <w:pPr>
              <w:pStyle w:val="TableContents"/>
              <w:bidi w:val="0"/>
              <w:spacing w:before="0" w:after="283"/>
              <w:ind w:left="0" w:right="0" w:hanging="0"/>
              <w:jc w:val="left"/>
              <w:rPr>
                <w:sz w:val="4"/>
                <w:szCs w:val="4"/>
              </w:rPr>
            </w:pPr>
            <w:r>
              <w:rPr>
                <w:sz w:val="4"/>
                <w:szCs w:val="4"/>
              </w:rPr>
            </w:r>
          </w:p>
        </w:tc>
        <w:tc>
          <w:tcPr>
            <w:tcW w:w="477" w:type="dxa"/>
            <w:tcBorders/>
            <w:vAlign w:val="center"/>
          </w:tcPr>
          <w:p>
            <w:pPr>
              <w:pStyle w:val="TableContents"/>
              <w:bidi w:val="0"/>
              <w:spacing w:before="0" w:after="283"/>
              <w:ind w:left="0" w:right="0" w:hanging="0"/>
              <w:jc w:val="left"/>
              <w:rPr>
                <w:sz w:val="4"/>
                <w:szCs w:val="4"/>
              </w:rPr>
            </w:pPr>
            <w:r>
              <w:rPr>
                <w:sz w:val="4"/>
                <w:szCs w:val="4"/>
              </w:rPr>
            </w:r>
          </w:p>
        </w:tc>
        <w:tc>
          <w:tcPr>
            <w:tcW w:w="594"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704" w:type="dxa"/>
            <w:tcBorders/>
            <w:vAlign w:val="center"/>
          </w:tcPr>
          <w:p>
            <w:pPr>
              <w:pStyle w:val="TableContents"/>
              <w:bidi w:val="0"/>
              <w:spacing w:before="0" w:after="0"/>
              <w:ind w:left="0" w:right="0" w:hanging="0"/>
              <w:jc w:val="center"/>
              <w:rPr/>
            </w:pPr>
            <w:r>
              <w:rPr/>
              <w:t> </w:t>
            </w:r>
            <w:r>
              <w:rPr/>
              <w:drawing>
                <wp:inline distT="0" distB="0" distL="0" distR="0">
                  <wp:extent cx="344805" cy="28321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344805" cy="283210"/>
                          </a:xfrm>
                          <a:prstGeom prst="rect">
                            <a:avLst/>
                          </a:prstGeom>
                        </pic:spPr>
                      </pic:pic>
                    </a:graphicData>
                  </a:graphic>
                </wp:inline>
              </w:drawing>
            </w:r>
          </w:p>
        </w:tc>
        <w:tc>
          <w:tcPr>
            <w:tcW w:w="477" w:type="dxa"/>
            <w:tcBorders/>
            <w:vAlign w:val="center"/>
          </w:tcPr>
          <w:p>
            <w:pPr>
              <w:pStyle w:val="TableContents"/>
              <w:bidi w:val="0"/>
              <w:spacing w:before="0" w:after="0"/>
              <w:ind w:left="0" w:right="0" w:hanging="0"/>
              <w:jc w:val="center"/>
              <w:rPr/>
            </w:pPr>
            <w:r>
              <w:rPr/>
              <w:t> </w:t>
            </w:r>
            <w:r>
              <w:rPr/>
              <w:drawing>
                <wp:inline distT="0" distB="0" distL="0" distR="0">
                  <wp:extent cx="210185" cy="27432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210185" cy="274320"/>
                          </a:xfrm>
                          <a:prstGeom prst="rect">
                            <a:avLst/>
                          </a:prstGeom>
                        </pic:spPr>
                      </pic:pic>
                    </a:graphicData>
                  </a:graphic>
                </wp:inline>
              </w:drawing>
            </w:r>
          </w:p>
        </w:tc>
        <w:tc>
          <w:tcPr>
            <w:tcW w:w="594" w:type="dxa"/>
            <w:tcBorders/>
            <w:vAlign w:val="center"/>
          </w:tcPr>
          <w:p>
            <w:pPr>
              <w:pStyle w:val="TableContents"/>
              <w:bidi w:val="0"/>
              <w:spacing w:before="0" w:after="0"/>
              <w:ind w:left="0" w:right="0" w:hanging="0"/>
              <w:jc w:val="center"/>
              <w:rPr/>
            </w:pPr>
            <w:r>
              <w:rPr/>
              <w:t> </w:t>
            </w:r>
            <w:r>
              <w:rPr/>
              <w:drawing>
                <wp:inline distT="0" distB="0" distL="0" distR="0">
                  <wp:extent cx="284480" cy="26543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284480" cy="26543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center"/>
              <w:rPr/>
            </w:pPr>
            <w:r>
              <w:rPr/>
              <w:t> </w:t>
            </w:r>
            <w:r>
              <w:rPr/>
              <w:drawing>
                <wp:inline distT="0" distB="0" distL="0" distR="0">
                  <wp:extent cx="374650" cy="18288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374650" cy="18288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b/>
          <w:sz w:val="20"/>
        </w:rPr>
      </w:pPr>
      <w:r>
        <w:rPr>
          <w:rFonts w:ascii="Arial;Helvetica;sans-serif" w:hAnsi="Arial;Helvetica;sans-serif"/>
          <w:b/>
          <w:sz w:val="20"/>
        </w:rPr>
        <w:t>It is not necessary to attend the Annual Meeting to vote your shares. You may vote by proxy via telephone, Internet or by completing, dating, signing and returning a paper proxy card.</w:t>
      </w:r>
    </w:p>
    <w:tbl>
      <w:tblPr>
        <w:tblW w:w="3440" w:type="dxa"/>
        <w:jc w:val="left"/>
        <w:tblInd w:w="0" w:type="dxa"/>
        <w:tblLayout w:type="fixed"/>
        <w:tblCellMar>
          <w:top w:w="0" w:type="dxa"/>
          <w:left w:w="0" w:type="dxa"/>
          <w:bottom w:w="0" w:type="dxa"/>
          <w:right w:w="0" w:type="dxa"/>
        </w:tblCellMar>
      </w:tblPr>
      <w:tblGrid>
        <w:gridCol w:w="124"/>
        <w:gridCol w:w="331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8740" cy="175260"/>
                      <wp:effectExtent l="0" t="0" r="0" b="0"/>
                      <wp:wrapNone/>
                      <wp:docPr id="17" name="Frame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05660" cy="175260"/>
                      <wp:effectExtent l="0" t="0" r="0" b="0"/>
                      <wp:wrapNone/>
                      <wp:docPr id="18" name="Frame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By Order of the Board of Directors</w:t>
            </w:r>
          </w:p>
        </w:tc>
      </w:tr>
      <w:tr>
        <w:trPr/>
        <w:tc>
          <w:tcPr>
            <w:tcW w:w="124"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Michelle R. Keating</w:t>
            </w:r>
          </w:p>
        </w:tc>
      </w:tr>
      <w:tr>
        <w:trPr/>
        <w:tc>
          <w:tcPr>
            <w:tcW w:w="124"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Vice President, Secretary</w:t>
            </w:r>
          </w:p>
        </w:tc>
      </w:tr>
      <w:tr>
        <w:trPr/>
        <w:tc>
          <w:tcPr>
            <w:tcW w:w="124"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and General Counsel</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September 14, 2026</w:t>
      </w:r>
    </w:p>
    <w:tbl>
      <w:tblPr>
        <w:tblW w:w="7486" w:type="dxa"/>
        <w:jc w:val="left"/>
        <w:tblInd w:w="0" w:type="dxa"/>
        <w:tblLayout w:type="fixed"/>
        <w:tblCellMar>
          <w:top w:w="0" w:type="dxa"/>
          <w:left w:w="0" w:type="dxa"/>
          <w:bottom w:w="0" w:type="dxa"/>
          <w:right w:w="0" w:type="dxa"/>
        </w:tblCellMar>
      </w:tblPr>
      <w:tblGrid>
        <w:gridCol w:w="7486"/>
      </w:tblGrid>
      <w:tr>
        <w:trPr/>
        <w:tc>
          <w:tcPr>
            <w:tcW w:w="7486" w:type="dxa"/>
            <w:tcBorders/>
            <w:shd w:fill="FFCD00" w:val="clear"/>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IMPORTANT NOTICE REGARDING THE AVAILABILITY OF PROXY MATERIALS</w:t>
            </w:r>
          </w:p>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ANNUAL MEETING OF SHAREOWNERS TO BE HELD</w:t>
            </w:r>
          </w:p>
          <w:p>
            <w:pPr>
              <w:pStyle w:val="TableContents"/>
              <w:bidi w:val="0"/>
              <w:spacing w:before="0" w:after="40"/>
              <w:ind w:left="0" w:right="0" w:hanging="0"/>
              <w:jc w:val="center"/>
              <w:rPr>
                <w:rFonts w:ascii="Arial;Helvetica;sans-serif" w:hAnsi="Arial;Helvetica;sans-serif"/>
                <w:b/>
                <w:sz w:val="20"/>
              </w:rPr>
            </w:pPr>
            <w:r>
              <w:rPr>
                <w:rFonts w:ascii="Arial;Helvetica;sans-serif" w:hAnsi="Arial;Helvetica;sans-serif"/>
                <w:b/>
                <w:sz w:val="20"/>
              </w:rPr>
              <w:t>OCTOBER 27, 2026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This Proxy Statement and the 2026 Annual Report are available for viewing at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www.proxyvote.com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36"/>
        </w:rPr>
      </w:pPr>
      <w:bookmarkStart w:id="5" w:name="_13df191c_7036_43fa_ac3b_780ce8368ed8"/>
      <w:bookmarkEnd w:id="5"/>
      <w:r>
        <w:rPr>
          <w:rFonts w:ascii="Arial;Helvetica;sans-serif" w:hAnsi="Arial;Helvetica;sans-serif"/>
          <w:b/>
          <w:sz w:val="36"/>
        </w:rPr>
        <w:t>2026 Proxy Summary</w:t>
      </w:r>
    </w:p>
    <w:p>
      <w:pPr>
        <w:pStyle w:val="TextBody"/>
        <w:bidi w:val="0"/>
        <w:spacing w:before="120" w:after="0"/>
        <w:ind w:left="0" w:right="0" w:hanging="0"/>
        <w:jc w:val="both"/>
        <w:rPr>
          <w:rFonts w:ascii="Arial;Helvetica;sans-serif" w:hAnsi="Arial;Helvetica;sans-serif"/>
          <w:i/>
          <w:sz w:val="20"/>
        </w:rPr>
      </w:pPr>
      <w:r>
        <w:rPr>
          <w:rFonts w:ascii="Arial;Helvetica;sans-serif" w:hAnsi="Arial;Helvetica;sans-serif"/>
          <w:i/>
          <w:sz w:val="20"/>
        </w:rPr>
        <w:t>This 2026 Proxy Summary highlights certain information contained elsewhere in this Proxy Statement. This summary does not contain all the information that you should consider before voting, and we strongly encourage you to carefully read the Proxy Statement before voting.</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General Information About the 2026 Annual Meeting of Shareowners</w:t>
      </w:r>
    </w:p>
    <w:tbl>
      <w:tblPr>
        <w:tblW w:w="10205" w:type="dxa"/>
        <w:jc w:val="left"/>
        <w:tblInd w:w="0" w:type="dxa"/>
        <w:tblLayout w:type="fixed"/>
        <w:tblCellMar>
          <w:top w:w="0" w:type="dxa"/>
          <w:left w:w="0" w:type="dxa"/>
          <w:bottom w:w="0" w:type="dxa"/>
          <w:right w:w="0" w:type="dxa"/>
        </w:tblCellMar>
      </w:tblPr>
      <w:tblGrid>
        <w:gridCol w:w="1841"/>
        <w:gridCol w:w="8364"/>
      </w:tblGrid>
      <w:tr>
        <w:trPr/>
        <w:tc>
          <w:tcPr>
            <w:tcW w:w="1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169035" cy="175260"/>
                      <wp:effectExtent l="0" t="0" r="0" b="0"/>
                      <wp:wrapNone/>
                      <wp:docPr id="19" name="Frame9"/>
                      <a:graphic xmlns:a="http://schemas.openxmlformats.org/drawingml/2006/main">
                        <a:graphicData uri="http://schemas.microsoft.com/office/word/2010/wordprocessingShape">
                          <wps:wsp>
                            <wps:cNvSpPr txBox="1"/>
                            <wps:spPr>
                              <a:xfrm>
                                <a:off x="0" y="0"/>
                                <a:ext cx="116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311140" cy="175260"/>
                      <wp:effectExtent l="0" t="0" r="0" b="0"/>
                      <wp:wrapNone/>
                      <wp:docPr id="20" name="Frame10"/>
                      <a:graphic xmlns:a="http://schemas.openxmlformats.org/drawingml/2006/main">
                        <a:graphicData uri="http://schemas.microsoft.com/office/word/2010/wordprocessingShape">
                          <wps:wsp>
                            <wps:cNvSpPr txBox="1"/>
                            <wps:spPr>
                              <a:xfrm>
                                <a:off x="0" y="0"/>
                                <a:ext cx="531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1"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c>
          <w:tcPr>
            <w:tcW w:w="8364"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drawing>
                <wp:inline distT="0" distB="0" distL="0" distR="0">
                  <wp:extent cx="1088390" cy="46609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1088390" cy="466090"/>
                          </a:xfrm>
                          <a:prstGeom prst="rect">
                            <a:avLst/>
                          </a:prstGeom>
                        </pic:spPr>
                      </pic:pic>
                    </a:graphicData>
                  </a:graphic>
                </wp:inline>
              </w:drawing>
            </w:r>
          </w:p>
        </w:tc>
        <w:tc>
          <w:tcPr>
            <w:tcW w:w="836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2:00 p.m. (Eastern Time) on Tuesday, October 27, 2026</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drawing>
                <wp:inline distT="0" distB="0" distL="0" distR="0">
                  <wp:extent cx="1104900" cy="530225"/>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1104900" cy="530225"/>
                          </a:xfrm>
                          <a:prstGeom prst="rect">
                            <a:avLst/>
                          </a:prstGeom>
                        </pic:spPr>
                      </pic:pic>
                    </a:graphicData>
                  </a:graphic>
                </wp:inline>
              </w:drawing>
            </w:r>
          </w:p>
        </w:tc>
        <w:tc>
          <w:tcPr>
            <w:tcW w:w="836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Virtually, via live audio webcast at www.virtualshareholdermeeting.com/KMT2026</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drawing>
                <wp:inline distT="0" distB="0" distL="0" distR="0">
                  <wp:extent cx="1088390" cy="46609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1088390" cy="466090"/>
                          </a:xfrm>
                          <a:prstGeom prst="rect">
                            <a:avLst/>
                          </a:prstGeom>
                        </pic:spPr>
                      </pic:pic>
                    </a:graphicData>
                  </a:graphic>
                </wp:inline>
              </w:drawing>
            </w:r>
          </w:p>
        </w:tc>
        <w:tc>
          <w:tcPr>
            <w:tcW w:w="836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August 28, 2026</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841" w:type="dxa"/>
            <w:tcBorders/>
            <w:vAlign w:val="center"/>
          </w:tcPr>
          <w:p>
            <w:pPr>
              <w:pStyle w:val="TableContents"/>
              <w:bidi w:val="0"/>
              <w:spacing w:before="0" w:after="0"/>
              <w:ind w:left="0" w:right="0" w:hanging="0"/>
              <w:jc w:val="left"/>
              <w:rPr/>
            </w:pPr>
            <w:r>
              <w:rPr/>
              <w:drawing>
                <wp:inline distT="0" distB="0" distL="0" distR="0">
                  <wp:extent cx="1104900" cy="53022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1104900" cy="530225"/>
                          </a:xfrm>
                          <a:prstGeom prst="rect">
                            <a:avLst/>
                          </a:prstGeom>
                        </pic:spPr>
                      </pic:pic>
                    </a:graphicData>
                  </a:graphic>
                </wp:inline>
              </w:drawing>
            </w:r>
          </w:p>
        </w:tc>
        <w:tc>
          <w:tcPr>
            <w:tcW w:w="8364"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For all matters, shareowners as of the Record Date have one vote for each share of capital stock held by such person on the Record Date</w:t>
            </w:r>
          </w:p>
        </w:tc>
      </w:tr>
      <w:tr>
        <w:trPr/>
        <w:tc>
          <w:tcPr>
            <w:tcW w:w="1841" w:type="dxa"/>
            <w:tcBorders/>
            <w:vAlign w:val="center"/>
          </w:tcPr>
          <w:p>
            <w:pPr>
              <w:pStyle w:val="TableContents"/>
              <w:bidi w:val="0"/>
              <w:spacing w:before="0" w:after="0"/>
              <w:ind w:left="0" w:right="0" w:hanging="0"/>
              <w:jc w:val="left"/>
              <w:rPr/>
            </w:pPr>
            <w:r>
              <w:rPr/>
              <w:t>​</w:t>
            </w:r>
          </w:p>
        </w:tc>
        <w:tc>
          <w:tcPr>
            <w:tcW w:w="8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Proposals to be Considered and Board Recommendations</w:t>
      </w:r>
    </w:p>
    <w:tbl>
      <w:tblPr>
        <w:tblW w:w="10205" w:type="dxa"/>
        <w:jc w:val="left"/>
        <w:tblInd w:w="0" w:type="dxa"/>
        <w:tblLayout w:type="fixed"/>
        <w:tblCellMar>
          <w:top w:w="0" w:type="dxa"/>
          <w:left w:w="0" w:type="dxa"/>
          <w:bottom w:w="0" w:type="dxa"/>
          <w:right w:w="0" w:type="dxa"/>
        </w:tblCellMar>
      </w:tblPr>
      <w:tblGrid>
        <w:gridCol w:w="1023"/>
        <w:gridCol w:w="226"/>
        <w:gridCol w:w="226"/>
        <w:gridCol w:w="5169"/>
        <w:gridCol w:w="1957"/>
        <w:gridCol w:w="1604"/>
      </w:tblGrid>
      <w:tr>
        <w:trPr/>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9605" cy="175260"/>
                      <wp:effectExtent l="0" t="0" r="0" b="0"/>
                      <wp:wrapNone/>
                      <wp:docPr id="25" name="Frame11"/>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3510" cy="175260"/>
                      <wp:effectExtent l="0" t="0" r="0" b="0"/>
                      <wp:wrapNone/>
                      <wp:docPr id="26" name="Frame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282315" cy="175260"/>
                      <wp:effectExtent l="0" t="0" r="0" b="0"/>
                      <wp:wrapNone/>
                      <wp:docPr id="27" name="Frame13"/>
                      <a:graphic xmlns:a="http://schemas.openxmlformats.org/drawingml/2006/main">
                        <a:graphicData uri="http://schemas.microsoft.com/office/word/2010/wordprocessingShape">
                          <wps:wsp>
                            <wps:cNvSpPr txBox="1"/>
                            <wps:spPr>
                              <a:xfrm>
                                <a:off x="0" y="0"/>
                                <a:ext cx="328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2695" cy="175260"/>
                      <wp:effectExtent l="0" t="0" r="0" b="0"/>
                      <wp:wrapNone/>
                      <wp:docPr id="28" name="Frame14"/>
                      <a:graphic xmlns:a="http://schemas.openxmlformats.org/drawingml/2006/main">
                        <a:graphicData uri="http://schemas.microsoft.com/office/word/2010/wordprocessingShape">
                          <wps:wsp>
                            <wps:cNvSpPr txBox="1"/>
                            <wps:spPr>
                              <a:xfrm>
                                <a:off x="0" y="0"/>
                                <a:ext cx="1242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018540" cy="175260"/>
                      <wp:effectExtent l="0" t="0" r="0" b="0"/>
                      <wp:wrapNone/>
                      <wp:docPr id="29" name="Frame15"/>
                      <a:graphic xmlns:a="http://schemas.openxmlformats.org/drawingml/2006/main">
                        <a:graphicData uri="http://schemas.microsoft.com/office/word/2010/wordprocessingShape">
                          <wps:wsp>
                            <wps:cNvSpPr txBox="1"/>
                            <wps:spPr>
                              <a:xfrm>
                                <a:off x="0" y="0"/>
                                <a:ext cx="1018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3" w:type="dxa"/>
            <w:tcBorders>
              <w:bottom w:val="single" w:sz="18" w:space="0" w:color="FFCD00"/>
            </w:tcBorders>
            <w:tcMar>
              <w:bottom w:w="28" w:type="dxa"/>
            </w:tcMar>
            <w:vAlign w:val="center"/>
          </w:tcPr>
          <w:p>
            <w:pPr>
              <w:pStyle w:val="TableContents"/>
              <w:bidi w:val="0"/>
              <w:spacing w:before="0" w:after="60"/>
              <w:ind w:left="0" w:right="0" w:hanging="0"/>
              <w:jc w:val="left"/>
              <w:rPr/>
            </w:pPr>
            <w:r>
              <w:rPr/>
              <w:t>​</w:t>
            </w:r>
          </w:p>
        </w:tc>
        <w:tc>
          <w:tcPr>
            <w:tcW w:w="226" w:type="dxa"/>
            <w:tcBorders>
              <w:bottom w:val="single" w:sz="18" w:space="0" w:color="FFCD00"/>
            </w:tcBorders>
            <w:tcMar>
              <w:bottom w:w="28" w:type="dxa"/>
            </w:tcMar>
            <w:vAlign w:val="center"/>
          </w:tcPr>
          <w:p>
            <w:pPr>
              <w:pStyle w:val="TableContents"/>
              <w:bidi w:val="0"/>
              <w:spacing w:before="0" w:after="60"/>
              <w:ind w:left="0" w:right="0" w:hanging="0"/>
              <w:jc w:val="left"/>
              <w:rPr/>
            </w:pPr>
            <w:r>
              <w:rPr/>
              <w:t>  ​</w:t>
            </w:r>
          </w:p>
        </w:tc>
        <w:tc>
          <w:tcPr>
            <w:tcW w:w="226" w:type="dxa"/>
            <w:tcBorders>
              <w:bottom w:val="single" w:sz="18" w:space="0" w:color="FFCD00"/>
            </w:tcBorders>
            <w:tcMar>
              <w:bottom w:w="28" w:type="dxa"/>
            </w:tcMar>
            <w:vAlign w:val="center"/>
          </w:tcPr>
          <w:p>
            <w:pPr>
              <w:pStyle w:val="TableContents"/>
              <w:bidi w:val="0"/>
              <w:spacing w:before="0" w:after="60"/>
              <w:ind w:left="0" w:right="0" w:hanging="0"/>
              <w:jc w:val="left"/>
              <w:rPr/>
            </w:pPr>
            <w:r>
              <w:rPr/>
              <w:t>  ​</w:t>
            </w:r>
          </w:p>
        </w:tc>
        <w:tc>
          <w:tcPr>
            <w:tcW w:w="5169" w:type="dxa"/>
            <w:tcBorders>
              <w:bottom w:val="single" w:sz="18" w:space="0" w:color="FFCD00"/>
            </w:tcBorders>
            <w:tcMar>
              <w:bottom w:w="28" w:type="dxa"/>
            </w:tcMar>
            <w:vAlign w:val="center"/>
          </w:tcPr>
          <w:p>
            <w:pPr>
              <w:pStyle w:val="TableContents"/>
              <w:bidi w:val="0"/>
              <w:spacing w:before="0" w:after="60"/>
              <w:ind w:left="0" w:right="0" w:hanging="0"/>
              <w:jc w:val="left"/>
              <w:rPr>
                <w:rFonts w:ascii="Arial;Helvetica;sans-serif" w:hAnsi="Arial;Helvetica;sans-serif"/>
                <w:b/>
                <w:sz w:val="20"/>
              </w:rPr>
            </w:pPr>
            <w:r>
              <w:rPr>
                <w:rFonts w:ascii="Arial;Helvetica;sans-serif" w:hAnsi="Arial;Helvetica;sans-serif"/>
                <w:b/>
                <w:sz w:val="20"/>
              </w:rPr>
              <w:t>Proposal</w:t>
            </w:r>
          </w:p>
        </w:tc>
        <w:tc>
          <w:tcPr>
            <w:tcW w:w="1957" w:type="dxa"/>
            <w:tcBorders>
              <w:bottom w:val="single" w:sz="18" w:space="0" w:color="FFCD00"/>
            </w:tcBorders>
            <w:tcMar>
              <w:bottom w:w="28"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Board Voting</w:t>
              <w:br/>
              <w:t>Recommendation</w:t>
            </w:r>
          </w:p>
        </w:tc>
        <w:tc>
          <w:tcPr>
            <w:tcW w:w="1604" w:type="dxa"/>
            <w:tcBorders>
              <w:bottom w:val="single" w:sz="18" w:space="0" w:color="FFCD00"/>
            </w:tcBorders>
            <w:tcMar>
              <w:bottom w:w="28"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Page Reference</w:t>
              <w:br/>
              <w:t>(for more detail)</w:t>
            </w:r>
          </w:p>
        </w:tc>
      </w:tr>
      <w:tr>
        <w:trPr/>
        <w:tc>
          <w:tcPr>
            <w:tcW w:w="1023"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c>
          <w:tcPr>
            <w:tcW w:w="226"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c>
          <w:tcPr>
            <w:tcW w:w="226"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c>
          <w:tcPr>
            <w:tcW w:w="5169"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c>
          <w:tcPr>
            <w:tcW w:w="1957"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c>
          <w:tcPr>
            <w:tcW w:w="1604" w:type="dxa"/>
            <w:tcBorders>
              <w:top w:val="single" w:sz="18" w:space="0" w:color="FFCD00"/>
            </w:tcBorders>
            <w:tcMar>
              <w:top w:w="28" w:type="dxa"/>
            </w:tcMar>
            <w:vAlign w:val="center"/>
          </w:tcPr>
          <w:p>
            <w:pPr>
              <w:pStyle w:val="TableContents"/>
              <w:bidi w:val="0"/>
              <w:spacing w:before="0" w:after="0"/>
              <w:ind w:left="0" w:right="0" w:hanging="0"/>
              <w:jc w:val="left"/>
              <w:rPr/>
            </w:pPr>
            <w:r>
              <w:rPr/>
              <w:t>​</w:t>
            </w:r>
          </w:p>
        </w:tc>
      </w:tr>
      <w:tr>
        <w:trPr/>
        <w:tc>
          <w:tcPr>
            <w:tcW w:w="1023" w:type="dxa"/>
            <w:tcBorders/>
            <w:vAlign w:val="center"/>
          </w:tcPr>
          <w:p>
            <w:pPr>
              <w:pStyle w:val="TableContents"/>
              <w:bidi w:val="0"/>
              <w:spacing w:before="0" w:after="0"/>
              <w:ind w:left="0" w:right="0" w:hanging="0"/>
              <w:jc w:val="left"/>
              <w:rPr/>
            </w:pPr>
            <w:r>
              <w:rPr/>
              <w:drawing>
                <wp:inline distT="0" distB="0" distL="0" distR="0">
                  <wp:extent cx="585470" cy="37465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585470" cy="374650"/>
                          </a:xfrm>
                          <a:prstGeom prst="rect">
                            <a:avLst/>
                          </a:prstGeom>
                        </pic:spPr>
                      </pic:pic>
                    </a:graphicData>
                  </a:graphic>
                </wp:inline>
              </w:drawing>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Election of nine directors with terms to expire in 2027.</w:t>
            </w:r>
          </w:p>
        </w:tc>
        <w:tc>
          <w:tcPr>
            <w:tcW w:w="1957" w:type="dxa"/>
            <w:tcBorders/>
            <w:vAlign w:val="center"/>
          </w:tcPr>
          <w:p>
            <w:pPr>
              <w:pStyle w:val="TableContents"/>
              <w:bidi w:val="0"/>
              <w:spacing w:before="0" w:after="0"/>
              <w:ind w:left="0" w:right="0" w:hanging="0"/>
              <w:jc w:val="center"/>
              <w:rPr/>
            </w:pPr>
            <w:r>
              <w:rPr/>
              <w:drawing>
                <wp:inline distT="0" distB="0" distL="0" distR="0">
                  <wp:extent cx="283210" cy="28321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283210" cy="283210"/>
                          </a:xfrm>
                          <a:prstGeom prst="rect">
                            <a:avLst/>
                          </a:prstGeom>
                        </pic:spPr>
                      </pic:pic>
                    </a:graphicData>
                  </a:graphic>
                </wp:inline>
              </w:drawing>
            </w:r>
            <w:r>
              <w:rPr>
                <w:rFonts w:ascii="Arial;Helvetica;sans-serif" w:hAnsi="Arial;Helvetica;sans-serif"/>
                <w:sz w:val="20"/>
              </w:rPr>
              <w:br/>
              <w:t>FOR each Director Nominee</w:t>
            </w:r>
          </w:p>
        </w:tc>
        <w:tc>
          <w:tcPr>
            <w:tcW w:w="160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102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0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02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6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5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0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023" w:type="dxa"/>
            <w:tcBorders/>
            <w:vAlign w:val="center"/>
          </w:tcPr>
          <w:p>
            <w:pPr>
              <w:pStyle w:val="TableContents"/>
              <w:bidi w:val="0"/>
              <w:spacing w:before="0" w:after="0"/>
              <w:ind w:left="0" w:right="0" w:hanging="0"/>
              <w:jc w:val="left"/>
              <w:rPr/>
            </w:pPr>
            <w:r>
              <w:rPr/>
              <w:drawing>
                <wp:inline distT="0" distB="0" distL="0" distR="0">
                  <wp:extent cx="585470" cy="37465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585470" cy="374650"/>
                          </a:xfrm>
                          <a:prstGeom prst="rect">
                            <a:avLst/>
                          </a:prstGeom>
                        </pic:spPr>
                      </pic:pic>
                    </a:graphicData>
                  </a:graphic>
                </wp:inline>
              </w:drawing>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Ratification of PricewaterhouseCoopers LLP as the Company’s independent registered public accounting firm for the fiscal year ending June 30, 2027.</w:t>
            </w:r>
          </w:p>
        </w:tc>
        <w:tc>
          <w:tcPr>
            <w:tcW w:w="1957" w:type="dxa"/>
            <w:tcBorders/>
            <w:vAlign w:val="center"/>
          </w:tcPr>
          <w:p>
            <w:pPr>
              <w:pStyle w:val="TableContents"/>
              <w:bidi w:val="0"/>
              <w:spacing w:before="0" w:after="0"/>
              <w:ind w:left="0" w:right="0" w:hanging="0"/>
              <w:jc w:val="center"/>
              <w:rPr/>
            </w:pPr>
            <w:r>
              <w:rPr/>
              <w:drawing>
                <wp:inline distT="0" distB="0" distL="0" distR="0">
                  <wp:extent cx="283210" cy="28321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283210" cy="283210"/>
                          </a:xfrm>
                          <a:prstGeom prst="rect">
                            <a:avLst/>
                          </a:prstGeom>
                        </pic:spPr>
                      </pic:pic>
                    </a:graphicData>
                  </a:graphic>
                </wp:inline>
              </w:drawing>
            </w:r>
            <w:r>
              <w:rPr>
                <w:rFonts w:ascii="Arial;Helvetica;sans-serif" w:hAnsi="Arial;Helvetica;sans-serif"/>
                <w:sz w:val="20"/>
              </w:rPr>
              <w:br/>
              <w:t>FOR</w:t>
            </w:r>
          </w:p>
        </w:tc>
        <w:tc>
          <w:tcPr>
            <w:tcW w:w="160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tc>
      </w:tr>
      <w:tr>
        <w:trPr/>
        <w:tc>
          <w:tcPr>
            <w:tcW w:w="102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0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02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6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5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0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023" w:type="dxa"/>
            <w:tcBorders/>
            <w:vAlign w:val="center"/>
          </w:tcPr>
          <w:p>
            <w:pPr>
              <w:pStyle w:val="TableContents"/>
              <w:bidi w:val="0"/>
              <w:spacing w:before="0" w:after="0"/>
              <w:ind w:left="0" w:right="0" w:hanging="0"/>
              <w:jc w:val="left"/>
              <w:rPr/>
            </w:pPr>
            <w:r>
              <w:rPr/>
              <w:drawing>
                <wp:inline distT="0" distB="0" distL="0" distR="0">
                  <wp:extent cx="585470" cy="374650"/>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585470" cy="374650"/>
                          </a:xfrm>
                          <a:prstGeom prst="rect">
                            <a:avLst/>
                          </a:prstGeom>
                        </pic:spPr>
                      </pic:pic>
                    </a:graphicData>
                  </a:graphic>
                </wp:inline>
              </w:drawing>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Non-binding (advisory) vote to approve the compensation paid to the Company’s named executive officers, as disclosed in this Proxy Statement.</w:t>
            </w:r>
          </w:p>
        </w:tc>
        <w:tc>
          <w:tcPr>
            <w:tcW w:w="1957" w:type="dxa"/>
            <w:tcBorders/>
            <w:vAlign w:val="center"/>
          </w:tcPr>
          <w:p>
            <w:pPr>
              <w:pStyle w:val="TableContents"/>
              <w:bidi w:val="0"/>
              <w:spacing w:before="0" w:after="0"/>
              <w:ind w:left="0" w:right="0" w:hanging="0"/>
              <w:jc w:val="center"/>
              <w:rPr/>
            </w:pPr>
            <w:r>
              <w:rPr/>
              <w:drawing>
                <wp:inline distT="0" distB="0" distL="0" distR="0">
                  <wp:extent cx="283210" cy="28321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283210" cy="283210"/>
                          </a:xfrm>
                          <a:prstGeom prst="rect">
                            <a:avLst/>
                          </a:prstGeom>
                        </pic:spPr>
                      </pic:pic>
                    </a:graphicData>
                  </a:graphic>
                </wp:inline>
              </w:drawing>
            </w:r>
            <w:r>
              <w:rPr>
                <w:rFonts w:ascii="Arial;Helvetica;sans-serif" w:hAnsi="Arial;Helvetica;sans-serif"/>
                <w:sz w:val="20"/>
              </w:rPr>
              <w:br/>
              <w:t>FOR</w:t>
            </w:r>
          </w:p>
        </w:tc>
        <w:tc>
          <w:tcPr>
            <w:tcW w:w="160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86</w:t>
            </w:r>
          </w:p>
        </w:tc>
      </w:tr>
      <w:tr>
        <w:trPr/>
        <w:tc>
          <w:tcPr>
            <w:tcW w:w="102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0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02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16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5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0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Board Nominees</w:t>
      </w:r>
    </w:p>
    <w:tbl>
      <w:tblPr>
        <w:tblW w:w="10205" w:type="dxa"/>
        <w:jc w:val="left"/>
        <w:tblInd w:w="0" w:type="dxa"/>
        <w:tblLayout w:type="fixed"/>
        <w:tblCellMar>
          <w:top w:w="0" w:type="dxa"/>
          <w:left w:w="0" w:type="dxa"/>
          <w:bottom w:w="0" w:type="dxa"/>
          <w:right w:w="0" w:type="dxa"/>
        </w:tblCellMar>
      </w:tblPr>
      <w:tblGrid>
        <w:gridCol w:w="1473"/>
        <w:gridCol w:w="226"/>
        <w:gridCol w:w="421"/>
        <w:gridCol w:w="226"/>
        <w:gridCol w:w="744"/>
        <w:gridCol w:w="226"/>
        <w:gridCol w:w="1307"/>
        <w:gridCol w:w="226"/>
        <w:gridCol w:w="1111"/>
        <w:gridCol w:w="226"/>
        <w:gridCol w:w="526"/>
        <w:gridCol w:w="226"/>
        <w:gridCol w:w="526"/>
        <w:gridCol w:w="226"/>
        <w:gridCol w:w="526"/>
        <w:gridCol w:w="226"/>
        <w:gridCol w:w="1763"/>
      </w:tblGrid>
      <w:tr>
        <w:trPr/>
        <w:tc>
          <w:tcPr>
            <w:tcW w:w="1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35355" cy="175260"/>
                      <wp:effectExtent l="0" t="0" r="0" b="0"/>
                      <wp:wrapNone/>
                      <wp:docPr id="36" name="Frame16"/>
                      <a:graphic xmlns:a="http://schemas.openxmlformats.org/drawingml/2006/main">
                        <a:graphicData uri="http://schemas.microsoft.com/office/word/2010/wordprocessingShape">
                          <wps:wsp>
                            <wps:cNvSpPr txBox="1"/>
                            <wps:spPr>
                              <a:xfrm>
                                <a:off x="0" y="0"/>
                                <a:ext cx="935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3510" cy="175260"/>
                      <wp:effectExtent l="0" t="0" r="0" b="0"/>
                      <wp:wrapNone/>
                      <wp:docPr id="37" name="Frame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67335" cy="175260"/>
                      <wp:effectExtent l="0" t="0" r="0" b="0"/>
                      <wp:wrapNone/>
                      <wp:docPr id="38" name="Frame1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3510" cy="175260"/>
                      <wp:effectExtent l="0" t="0" r="0" b="0"/>
                      <wp:wrapNone/>
                      <wp:docPr id="39"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72440" cy="175260"/>
                      <wp:effectExtent l="0" t="0" r="0" b="0"/>
                      <wp:wrapNone/>
                      <wp:docPr id="40" name="Frame20"/>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3510" cy="175260"/>
                      <wp:effectExtent l="0" t="0" r="0" b="0"/>
                      <wp:wrapNone/>
                      <wp:docPr id="4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29945" cy="175260"/>
                      <wp:effectExtent l="0" t="0" r="0" b="0"/>
                      <wp:wrapNone/>
                      <wp:docPr id="42" name="Frame22"/>
                      <a:graphic xmlns:a="http://schemas.openxmlformats.org/drawingml/2006/main">
                        <a:graphicData uri="http://schemas.microsoft.com/office/word/2010/wordprocessingShape">
                          <wps:wsp>
                            <wps:cNvSpPr txBox="1"/>
                            <wps:spPr>
                              <a:xfrm>
                                <a:off x="0" y="0"/>
                                <a:ext cx="829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3510" cy="175260"/>
                      <wp:effectExtent l="0" t="0" r="0" b="0"/>
                      <wp:wrapNone/>
                      <wp:docPr id="4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05485" cy="175260"/>
                      <wp:effectExtent l="0" t="0" r="0" b="0"/>
                      <wp:wrapNone/>
                      <wp:docPr id="44" name="Frame2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3510" cy="175260"/>
                      <wp:effectExtent l="0" t="0" r="0" b="0"/>
                      <wp:wrapNone/>
                      <wp:docPr id="4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34010" cy="175260"/>
                      <wp:effectExtent l="0" t="0" r="0" b="0"/>
                      <wp:wrapNone/>
                      <wp:docPr id="46" name="Frame2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3510" cy="175260"/>
                      <wp:effectExtent l="0" t="0" r="0" b="0"/>
                      <wp:wrapNone/>
                      <wp:docPr id="47"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34010" cy="175260"/>
                      <wp:effectExtent l="0" t="0" r="0" b="0"/>
                      <wp:wrapNone/>
                      <wp:docPr id="48" name="Frame2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3510" cy="175260"/>
                      <wp:effectExtent l="0" t="0" r="0" b="0"/>
                      <wp:wrapNone/>
                      <wp:docPr id="49"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34010" cy="175260"/>
                      <wp:effectExtent l="0" t="0" r="0" b="0"/>
                      <wp:wrapNone/>
                      <wp:docPr id="50" name="Frame3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3510" cy="175260"/>
                      <wp:effectExtent l="0" t="0" r="0" b="0"/>
                      <wp:wrapNone/>
                      <wp:docPr id="51" name="Frame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19505" cy="175260"/>
                      <wp:effectExtent l="0" t="0" r="0" b="0"/>
                      <wp:wrapNone/>
                      <wp:docPr id="52" name="Frame32"/>
                      <a:graphic xmlns:a="http://schemas.openxmlformats.org/drawingml/2006/main">
                        <a:graphicData uri="http://schemas.microsoft.com/office/word/2010/wordprocessingShape">
                          <wps:wsp>
                            <wps:cNvSpPr txBox="1"/>
                            <wps:spPr>
                              <a:xfrm>
                                <a:off x="0" y="0"/>
                                <a:ext cx="1119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0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Committee</w:t>
              <w:br/>
              <w:t>Memberships</w:t>
            </w:r>
          </w:p>
        </w:tc>
        <w:tc>
          <w:tcPr>
            <w:tcW w:w="226" w:type="dxa"/>
            <w:tcBorders/>
            <w:vAlign w:val="center"/>
          </w:tcPr>
          <w:p>
            <w:pPr>
              <w:pStyle w:val="TableContents"/>
              <w:bidi w:val="0"/>
              <w:spacing w:before="0" w:after="0"/>
              <w:ind w:left="0" w:right="0" w:hanging="0"/>
              <w:jc w:val="left"/>
              <w:rPr/>
            </w:pPr>
            <w:r>
              <w:rPr/>
              <w:t>​</w:t>
            </w:r>
          </w:p>
        </w:tc>
        <w:tc>
          <w:tcPr>
            <w:tcW w:w="176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Other Public</w:t>
            </w:r>
            <w:r>
              <w:rPr>
                <w:rFonts w:ascii="Arial;Helvetica;sans-serif" w:hAnsi="Arial;Helvetica;sans-serif"/>
                <w:sz w:val="16"/>
              </w:rPr>
              <w:t xml:space="preserve"> </w:t>
            </w:r>
          </w:p>
        </w:tc>
      </w:tr>
      <w:tr>
        <w:trPr/>
        <w:tc>
          <w:tcPr>
            <w:tcW w:w="1473" w:type="dxa"/>
            <w:tcBorders>
              <w:bottom w:val="single" w:sz="2" w:space="0" w:color="000000"/>
            </w:tcBorders>
            <w:tcMar>
              <w:bottom w:w="28" w:type="dxa"/>
            </w:tcMar>
            <w:vAlign w:val="center"/>
          </w:tcPr>
          <w:p>
            <w:pPr>
              <w:pStyle w:val="TableContents"/>
              <w:bidi w:val="0"/>
              <w:spacing w:before="0" w:after="40"/>
              <w:ind w:left="0" w:right="0" w:hanging="0"/>
              <w:jc w:val="left"/>
              <w:rPr>
                <w:rFonts w:ascii="Arial;Helvetica;sans-serif" w:hAnsi="Arial;Helvetica;sans-serif"/>
                <w:b/>
                <w:sz w:val="16"/>
              </w:rPr>
            </w:pPr>
            <w:r>
              <w:rPr>
                <w:rFonts w:ascii="Arial;Helvetica;sans-serif" w:hAnsi="Arial;Helvetica;sans-serif"/>
                <w:b/>
                <w:sz w:val="16"/>
              </w:rPr>
              <w:t>Name</w:t>
            </w:r>
          </w:p>
        </w:tc>
        <w:tc>
          <w:tcPr>
            <w:tcW w:w="226" w:type="dxa"/>
            <w:tcBorders>
              <w:bottom w:val="single" w:sz="2" w:space="0" w:color="000000"/>
            </w:tcBorders>
            <w:tcMar>
              <w:bottom w:w="28" w:type="dxa"/>
            </w:tcMar>
            <w:vAlign w:val="center"/>
          </w:tcPr>
          <w:p>
            <w:pPr>
              <w:pStyle w:val="TableContents"/>
              <w:bidi w:val="0"/>
              <w:spacing w:before="0" w:after="4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Age</w:t>
            </w:r>
          </w:p>
        </w:tc>
        <w:tc>
          <w:tcPr>
            <w:tcW w:w="226" w:type="dxa"/>
            <w:tcBorders>
              <w:bottom w:val="single" w:sz="2" w:space="0" w:color="000000"/>
            </w:tcBorders>
            <w:tcMar>
              <w:bottom w:w="28" w:type="dxa"/>
            </w:tcMar>
            <w:vAlign w:val="center"/>
          </w:tcPr>
          <w:p>
            <w:pPr>
              <w:pStyle w:val="TableContents"/>
              <w:bidi w:val="0"/>
              <w:spacing w:before="0" w:after="40"/>
              <w:ind w:left="0" w:right="0" w:hanging="0"/>
              <w:jc w:val="left"/>
              <w:rPr/>
            </w:pPr>
            <w:r>
              <w:rPr/>
              <w:t>  ​</w:t>
            </w:r>
          </w:p>
        </w:tc>
        <w:tc>
          <w:tcPr>
            <w:tcW w:w="744" w:type="dxa"/>
            <w:tcBorders>
              <w:bottom w:val="single" w:sz="2" w:space="0" w:color="000000"/>
            </w:tcBorders>
            <w:tcMar>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Director</w:t>
              <w:br/>
              <w:t>Since (1)</w:t>
            </w:r>
          </w:p>
        </w:tc>
        <w:tc>
          <w:tcPr>
            <w:tcW w:w="226" w:type="dxa"/>
            <w:tcBorders>
              <w:bottom w:val="single" w:sz="2" w:space="0" w:color="000000"/>
            </w:tcBorders>
            <w:tcMar>
              <w:bottom w:w="28" w:type="dxa"/>
            </w:tcMar>
            <w:vAlign w:val="center"/>
          </w:tcPr>
          <w:p>
            <w:pPr>
              <w:pStyle w:val="TableContents"/>
              <w:bidi w:val="0"/>
              <w:spacing w:before="0" w:after="40"/>
              <w:ind w:left="0" w:right="0" w:hanging="0"/>
              <w:jc w:val="left"/>
              <w:rPr/>
            </w:pPr>
            <w:r>
              <w:rPr/>
              <w:t>  ​</w:t>
            </w:r>
          </w:p>
        </w:tc>
        <w:tc>
          <w:tcPr>
            <w:tcW w:w="1307" w:type="dxa"/>
            <w:tcBorders>
              <w:bottom w:val="single" w:sz="2" w:space="0" w:color="000000"/>
            </w:tcBorders>
            <w:tcMar>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Occupation</w:t>
            </w:r>
          </w:p>
        </w:tc>
        <w:tc>
          <w:tcPr>
            <w:tcW w:w="226" w:type="dxa"/>
            <w:tcBorders>
              <w:bottom w:val="single" w:sz="2" w:space="0" w:color="000000"/>
            </w:tcBorders>
            <w:tcMar>
              <w:bottom w:w="28" w:type="dxa"/>
            </w:tcMar>
            <w:vAlign w:val="center"/>
          </w:tcPr>
          <w:p>
            <w:pPr>
              <w:pStyle w:val="TableContents"/>
              <w:bidi w:val="0"/>
              <w:spacing w:before="0" w:after="4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Independent</w:t>
            </w:r>
          </w:p>
        </w:tc>
        <w:tc>
          <w:tcPr>
            <w:tcW w:w="226" w:type="dxa"/>
            <w:tcBorders>
              <w:bottom w:val="single" w:sz="2" w:space="0" w:color="000000"/>
            </w:tcBorders>
            <w:tcMar>
              <w:bottom w:w="28" w:type="dxa"/>
            </w:tcMar>
            <w:vAlign w:val="center"/>
          </w:tcPr>
          <w:p>
            <w:pPr>
              <w:pStyle w:val="TableContents"/>
              <w:bidi w:val="0"/>
              <w:spacing w:before="0" w:after="4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AC</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CHC</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N/CG</w:t>
            </w:r>
          </w:p>
        </w:tc>
        <w:tc>
          <w:tcPr>
            <w:tcW w:w="226" w:type="dxa"/>
            <w:tcBorders>
              <w:bottom w:val="single" w:sz="2" w:space="0" w:color="000000"/>
            </w:tcBorders>
            <w:tcMar>
              <w:bottom w:w="28" w:type="dxa"/>
            </w:tcMar>
            <w:vAlign w:val="center"/>
          </w:tcPr>
          <w:p>
            <w:pPr>
              <w:pStyle w:val="TableContents"/>
              <w:bidi w:val="0"/>
              <w:spacing w:before="0" w:after="40"/>
              <w:ind w:left="0" w:right="0" w:hanging="0"/>
              <w:jc w:val="left"/>
              <w:rPr/>
            </w:pPr>
            <w:r>
              <w:rPr/>
              <w:t>  ​</w:t>
            </w:r>
          </w:p>
        </w:tc>
        <w:tc>
          <w:tcPr>
            <w:tcW w:w="1763" w:type="dxa"/>
            <w:tcBorders>
              <w:bottom w:val="single" w:sz="2" w:space="0" w:color="000000"/>
            </w:tcBorders>
            <w:tcMar>
              <w:bottom w:w="28"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Company</w:t>
              <w:br/>
              <w:t>Boards</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Joseph Alvarado</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74</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2018</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Board of Directors,</w:t>
              <w:br/>
              <w:t>Arcosa, Inc.,</w:t>
              <w:br/>
              <w:t>PNC Financial Services Group,</w:t>
              <w:br/>
              <w:t>Inc. and Trinseo, S.A.</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b/>
                <w:i/>
                <w:sz w:val="16"/>
              </w:rPr>
            </w:pPr>
            <w:r>
              <w:rPr>
                <w:rFonts w:ascii="Arial;Helvetica;sans-serif" w:hAnsi="Arial;Helvetica;sans-serif"/>
                <w:b/>
                <w:i/>
                <w:sz w:val="16"/>
              </w:rPr>
              <w:t>Chair</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Arcosa, Inc.;</w:t>
              <w:br/>
              <w:t>PNC Financial</w:t>
              <w:br/>
              <w:t>Services Group, Inc.;</w:t>
              <w:br/>
              <w:t>Trinseo, S.A.</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Shelley Bausch</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60</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2025</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Board of Directors,</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GATX Corporation</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GATX Corporation</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Sanjay Chowbey</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58</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2024</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President and Chief</w:t>
              <w:br/>
              <w:t>Executive Officer (“CEO”),</w:t>
              <w:br/>
              <w:t>Kennametal Inc.</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No</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NOV Inc.</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Richard J. Harshman</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70</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2026</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Board of Directors,</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Pittsburgh Cultural Trust,</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United Way</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Ameren Corporation;</w:t>
              <w:br/>
              <w:t xml:space="preserve">PNC Financial </w:t>
              <w:br/>
              <w:t>Service Group Inc.</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Dawne Hickton</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68</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2026</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Chair and CEO,</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Cumberland Additive, Inc.</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Commercial Metals Co;</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Elevra Lithium Limited</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Douglas T. Dietrich</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57</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2025</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 xml:space="preserve">Chairman and CEO, </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Minerals Technologies Inc.</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b/>
                <w:i/>
                <w:sz w:val="16"/>
              </w:rPr>
            </w:pPr>
            <w:r>
              <w:rPr>
                <w:rFonts w:ascii="Arial;Helvetica;sans-serif" w:hAnsi="Arial;Helvetica;sans-serif"/>
                <w:b/>
                <w:i/>
                <w:sz w:val="16"/>
              </w:rPr>
              <w:t>Chair</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Minerals Technologies Inc.</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Lorraine M. Martin</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64</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2018</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President and CEO,</w:t>
              <w:br/>
              <w:t>National Safety Council</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b/>
                <w:i/>
                <w:sz w:val="16"/>
              </w:rPr>
            </w:pPr>
            <w:r>
              <w:rPr>
                <w:rFonts w:ascii="Arial;Helvetica;sans-serif" w:hAnsi="Arial;Helvetica;sans-serif"/>
                <w:b/>
                <w:i/>
                <w:sz w:val="16"/>
              </w:rPr>
              <w:t>Chair</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IperionX Limited</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Sagar A. Patel</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60</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2016</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 xml:space="preserve">Board Member, Aerospace </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Portfolio Company,</w:t>
            </w:r>
          </w:p>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Ronin Equity Partners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r>
      <w:tr>
        <w:trPr/>
        <w:tc>
          <w:tcPr>
            <w:tcW w:w="147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rFonts w:ascii="Arial;Helvetica;sans-serif" w:hAnsi="Arial;Helvetica;sans-serif"/>
                <w:sz w:val="16"/>
              </w:rPr>
            </w:pPr>
            <w:r>
              <w:rPr>
                <w:rFonts w:ascii="Arial;Helvetica;sans-serif" w:hAnsi="Arial;Helvetica;sans-serif"/>
                <w:sz w:val="16"/>
              </w:rPr>
              <w:t>Paul Sternlieb</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42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54</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744"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2023</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307"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President and CEO and member of</w:t>
              <w:br/>
              <w:t>the Board of Directors, Enerpac Tool</w:t>
              <w:br/>
              <w:t>Group</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111"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Yes</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pPr>
            <w:r>
              <w:rPr/>
              <w:t>—</w:t>
            </w:r>
          </w:p>
        </w:tc>
        <w:tc>
          <w:tcPr>
            <w:tcW w:w="226"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left"/>
              <w:rPr/>
            </w:pPr>
            <w:r>
              <w:rPr/>
              <w:t>​</w:t>
            </w:r>
          </w:p>
        </w:tc>
        <w:tc>
          <w:tcPr>
            <w:tcW w:w="1763" w:type="dxa"/>
            <w:tcBorders>
              <w:top w:val="single" w:sz="2" w:space="0" w:color="000000"/>
              <w:bottom w:val="single" w:sz="2" w:space="0" w:color="000000"/>
            </w:tcBorders>
            <w:tcMar>
              <w:top w:w="28" w:type="dxa"/>
              <w:bottom w:w="28" w:type="dxa"/>
            </w:tcMar>
            <w:vAlign w:val="center"/>
          </w:tcPr>
          <w:p>
            <w:pPr>
              <w:pStyle w:val="TableContents"/>
              <w:bidi w:val="0"/>
              <w:spacing w:before="40" w:after="40"/>
              <w:ind w:left="0" w:right="0" w:hanging="0"/>
              <w:jc w:val="center"/>
              <w:rPr>
                <w:rFonts w:ascii="Arial;Helvetica;sans-serif" w:hAnsi="Arial;Helvetica;sans-serif"/>
                <w:sz w:val="16"/>
              </w:rPr>
            </w:pPr>
            <w:r>
              <w:rPr>
                <w:rFonts w:ascii="Arial;Helvetica;sans-serif" w:hAnsi="Arial;Helvetica;sans-serif"/>
                <w:sz w:val="16"/>
              </w:rPr>
              <w:t>Enerpac Tool Group</w:t>
            </w:r>
          </w:p>
        </w:tc>
      </w:tr>
    </w:tbl>
    <w:tbl>
      <w:tblPr>
        <w:tblW w:w="3377" w:type="dxa"/>
        <w:jc w:val="left"/>
        <w:tblInd w:w="0" w:type="dxa"/>
        <w:tblLayout w:type="fixed"/>
        <w:tblCellMar>
          <w:top w:w="0" w:type="dxa"/>
          <w:left w:w="0" w:type="dxa"/>
          <w:bottom w:w="0" w:type="dxa"/>
          <w:right w:w="0" w:type="dxa"/>
        </w:tblCellMar>
      </w:tblPr>
      <w:tblGrid>
        <w:gridCol w:w="346"/>
        <w:gridCol w:w="3031"/>
      </w:tblGrid>
      <w:tr>
        <w:trPr/>
        <w:tc>
          <w:tcPr>
            <w:tcW w:w="3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tc>
        <w:tc>
          <w:tcPr>
            <w:tcW w:w="303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References are to calendar years</w:t>
            </w:r>
          </w:p>
        </w:tc>
      </w:tr>
    </w:tbl>
    <w:tbl>
      <w:tblPr>
        <w:tblW w:w="1997" w:type="dxa"/>
        <w:jc w:val="left"/>
        <w:tblInd w:w="0" w:type="dxa"/>
        <w:tblLayout w:type="fixed"/>
        <w:tblCellMar>
          <w:top w:w="0" w:type="dxa"/>
          <w:left w:w="0" w:type="dxa"/>
          <w:bottom w:w="0" w:type="dxa"/>
          <w:right w:w="0" w:type="dxa"/>
        </w:tblCellMar>
      </w:tblPr>
      <w:tblGrid>
        <w:gridCol w:w="391"/>
        <w:gridCol w:w="1606"/>
      </w:tblGrid>
      <w:tr>
        <w:trPr/>
        <w:tc>
          <w:tcPr>
            <w:tcW w:w="39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AC</w:t>
            </w:r>
          </w:p>
        </w:tc>
        <w:tc>
          <w:tcPr>
            <w:tcW w:w="160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Audit Committee</w:t>
            </w:r>
          </w:p>
        </w:tc>
      </w:tr>
    </w:tbl>
    <w:tbl>
      <w:tblPr>
        <w:tblW w:w="4637" w:type="dxa"/>
        <w:jc w:val="left"/>
        <w:tblInd w:w="0" w:type="dxa"/>
        <w:tblLayout w:type="fixed"/>
        <w:tblCellMar>
          <w:top w:w="0" w:type="dxa"/>
          <w:left w:w="0" w:type="dxa"/>
          <w:bottom w:w="0" w:type="dxa"/>
          <w:right w:w="0" w:type="dxa"/>
        </w:tblCellMar>
      </w:tblPr>
      <w:tblGrid>
        <w:gridCol w:w="526"/>
        <w:gridCol w:w="4111"/>
      </w:tblGrid>
      <w:tr>
        <w:trPr/>
        <w:tc>
          <w:tcPr>
            <w:tcW w:w="52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CHC</w:t>
            </w:r>
          </w:p>
        </w:tc>
        <w:tc>
          <w:tcPr>
            <w:tcW w:w="411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Compensation and Human Capital Committee</w:t>
            </w:r>
          </w:p>
        </w:tc>
      </w:tr>
    </w:tbl>
    <w:tbl>
      <w:tblPr>
        <w:tblW w:w="4742" w:type="dxa"/>
        <w:jc w:val="left"/>
        <w:tblInd w:w="0" w:type="dxa"/>
        <w:tblLayout w:type="fixed"/>
        <w:tblCellMar>
          <w:top w:w="0" w:type="dxa"/>
          <w:left w:w="0" w:type="dxa"/>
          <w:bottom w:w="0" w:type="dxa"/>
          <w:right w:w="0" w:type="dxa"/>
        </w:tblCellMar>
      </w:tblPr>
      <w:tblGrid>
        <w:gridCol w:w="601"/>
        <w:gridCol w:w="4141"/>
      </w:tblGrid>
      <w:tr>
        <w:trPr/>
        <w:tc>
          <w:tcPr>
            <w:tcW w:w="60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N/CG</w:t>
            </w:r>
          </w:p>
        </w:tc>
        <w:tc>
          <w:tcPr>
            <w:tcW w:w="414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Nominating/Corporate Governance Committee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Attendance:    In Fiscal 2026, each of our directors serving on the Board attended at least 75% of the Board and committee meetings on which he or she sat during his or her tenure as a director. The following changes were made to the Board in Fiscal 2026: effective November 1, 2025, Mr. Dietrich was elected to serve as Chairman of the Audit Committee; Ms. Martin was elected to serve as Chair of the Compensation and Human Capital Committee; Ms. Bausch was appointed to serve on the Compensation and Human Capital Committee; and Mr. Dietrich was appointed to serve on the Nominating/Corporate Governance Committee. In Fiscal 2027, each of Ms. Hickton and Mr. Harshman were elected to the Board effective September 1, 2026.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 Elections:    Directors are elected by a majority of votes cast; meaning that the number of votes cast “for” such director nominee must exceed the number of votes cast “against” such nominee in order for a director to be elected.</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Corporate Governance Highlights</w:t>
      </w:r>
    </w:p>
    <w:p>
      <w:pPr>
        <w:pStyle w:val="TextBody"/>
        <w:bidi w:val="0"/>
        <w:spacing w:before="0" w:after="0"/>
        <w:ind w:left="0" w:right="0" w:hanging="0"/>
        <w:jc w:val="left"/>
        <w:rPr/>
      </w:pPr>
      <w:r>
        <w:rPr/>
        <w: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Our Board has a strong commitment to ethical conduct and good corporate governance, which promotes the long-term interests of shareowners, strengthens the Board and management accountability and helps build public trust in the Company. The dashboard below provides a snapshot of the Company’s current corporate governance policies.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Declassified Board of Directors</w:t>
            </w:r>
            <w:r>
              <w:rPr>
                <w:caps w:val="false"/>
                <w:smallCaps w:val="false"/>
              </w:rPr>
              <w:t xml:space="preserve"> — </w:t>
            </w:r>
            <w:r>
              <w:rPr>
                <w:rFonts w:ascii="Arial;Helvetica;sans-serif" w:hAnsi="Arial;Helvetica;sans-serif"/>
                <w:b w:val="false"/>
                <w:i w:val="false"/>
                <w:caps w:val="false"/>
                <w:smallCaps w:val="false"/>
                <w:sz w:val="20"/>
              </w:rPr>
              <w:t>The Company’s By-Laws provide for a declassified Board of Directors, whereby all Directors are elected to one-year terms.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Separation of CEO and Chairman</w:t>
            </w:r>
            <w:r>
              <w:rPr>
                <w:caps w:val="false"/>
                <w:smallCaps w:val="false"/>
              </w:rPr>
              <w:t xml:space="preserve"> — </w:t>
            </w:r>
            <w:r>
              <w:rPr>
                <w:rFonts w:ascii="Arial;Helvetica;sans-serif" w:hAnsi="Arial;Helvetica;sans-serif"/>
                <w:b w:val="false"/>
                <w:i w:val="false"/>
                <w:caps w:val="false"/>
                <w:smallCaps w:val="false"/>
                <w:sz w:val="20"/>
              </w:rPr>
              <w:t>The roles of the Chief Executive Officer and the Chairman of the Board are separate. An independent director serves as our Chairman of the Board.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Majority Voting in Director Elections</w:t>
            </w:r>
            <w:r>
              <w:rPr>
                <w:caps w:val="false"/>
                <w:smallCaps w:val="false"/>
              </w:rPr>
              <w:t xml:space="preserve"> — </w:t>
            </w:r>
            <w:r>
              <w:rPr>
                <w:rFonts w:ascii="Arial;Helvetica;sans-serif" w:hAnsi="Arial;Helvetica;sans-serif"/>
                <w:b w:val="false"/>
                <w:i w:val="false"/>
                <w:caps w:val="false"/>
                <w:smallCaps w:val="false"/>
                <w:sz w:val="20"/>
              </w:rPr>
              <w:t>Director elections are conducted on a majority voting basis and without cumulative voting.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Change in Control Double-Trigger Vesting Provision</w:t>
            </w:r>
            <w:r>
              <w:rPr>
                <w:caps w:val="false"/>
                <w:smallCaps w:val="false"/>
              </w:rPr>
              <w:t xml:space="preserve"> — </w:t>
            </w:r>
            <w:r>
              <w:rPr>
                <w:rFonts w:ascii="Arial;Helvetica;sans-serif" w:hAnsi="Arial;Helvetica;sans-serif"/>
                <w:b w:val="false"/>
                <w:i w:val="false"/>
                <w:caps w:val="false"/>
                <w:smallCaps w:val="false"/>
                <w:sz w:val="20"/>
              </w:rPr>
              <w:t>The Company’s 2024 Stock and Incentive Plan requires both a change in control of the Company and termination of the executive’s employment (“double-trigger”) for unvested or unearned equity awards to vest on an accelerated basis.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Governance Guidelines</w:t>
            </w:r>
            <w:r>
              <w:rPr>
                <w:caps w:val="false"/>
                <w:smallCaps w:val="false"/>
              </w:rPr>
              <w:t xml:space="preserve"> — </w:t>
            </w:r>
            <w:r>
              <w:rPr>
                <w:rFonts w:ascii="Arial;Helvetica;sans-serif" w:hAnsi="Arial;Helvetica;sans-serif"/>
                <w:b w:val="false"/>
                <w:i w:val="false"/>
                <w:caps w:val="false"/>
                <w:smallCaps w:val="false"/>
                <w:sz w:val="20"/>
              </w:rPr>
              <w:t>The Board has established Corporate Governance Guidelines which provide a framework for the effective governance of the Company. The guidelines address matters such as the Board’s mission, a Director’s responsibilities, Director qualifications, determination of Director independence, Board committee structure, Chief Executive Officer performance evaluations and management succession. The Board regularly reviews developments in corporate governance and updates the Corporate Governance Guidelines and other governance materials as it deems necessary and appropriate. The Company’s Corporate Governance Guidelines are available on its website at www.kennametal.com</w:t>
            </w:r>
            <w:r>
              <w:rPr>
                <w:caps w:val="false"/>
                <w:smallCaps w:val="false"/>
              </w:rPr>
              <w:t xml:space="preserve"> </w:t>
            </w:r>
            <w:r>
              <w:rPr>
                <w:rFonts w:ascii="Arial;Helvetica;sans-serif" w:hAnsi="Arial;Helvetica;sans-serif"/>
                <w:b w:val="false"/>
                <w:i w:val="false"/>
                <w:caps w:val="false"/>
                <w:smallCaps w:val="false"/>
                <w:sz w:val="20"/>
              </w:rPr>
              <w:t>on the “Corporate Governance” page under “Investor Relations.”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Independent Directors</w:t>
            </w:r>
            <w:r>
              <w:rPr>
                <w:caps w:val="false"/>
                <w:smallCaps w:val="false"/>
              </w:rPr>
              <w:t xml:space="preserve"> — </w:t>
            </w:r>
            <w:r>
              <w:rPr>
                <w:rFonts w:ascii="Arial;Helvetica;sans-serif" w:hAnsi="Arial;Helvetica;sans-serif"/>
                <w:b w:val="false"/>
                <w:i w:val="false"/>
                <w:caps w:val="false"/>
                <w:smallCaps w:val="false"/>
                <w:sz w:val="20"/>
              </w:rPr>
              <w:t>Our Board is comprised of all independent directors, other than our President and CEO.</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Independent Directors Regularly Meet</w:t>
            </w:r>
            <w:r>
              <w:rPr>
                <w:caps w:val="false"/>
                <w:smallCaps w:val="false"/>
              </w:rPr>
              <w:t xml:space="preserve"> — </w:t>
            </w:r>
            <w:r>
              <w:rPr>
                <w:rFonts w:ascii="Arial;Helvetica;sans-serif" w:hAnsi="Arial;Helvetica;sans-serif"/>
                <w:b w:val="false"/>
                <w:i w:val="false"/>
                <w:caps w:val="false"/>
                <w:smallCaps w:val="false"/>
                <w:sz w:val="20"/>
              </w:rPr>
              <w:t>Our independent directors meet in executive sessions, led by our independent Chairman of the Board, at each regularly scheduled Board meeting.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Independent Board Committees</w:t>
            </w:r>
            <w:r>
              <w:rPr>
                <w:caps w:val="false"/>
                <w:smallCaps w:val="false"/>
              </w:rPr>
              <w:t xml:space="preserve"> — </w:t>
            </w:r>
            <w:r>
              <w:rPr>
                <w:rFonts w:ascii="Arial;Helvetica;sans-serif" w:hAnsi="Arial;Helvetica;sans-serif"/>
                <w:b w:val="false"/>
                <w:i w:val="false"/>
                <w:caps w:val="false"/>
                <w:smallCaps w:val="false"/>
                <w:sz w:val="20"/>
              </w:rPr>
              <w:t>We have three standing Board committees with only independent directors serving as members.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Annual Board and Committee Self-Evaluation</w:t>
            </w:r>
            <w:r>
              <w:rPr>
                <w:caps w:val="false"/>
                <w:smallCaps w:val="false"/>
              </w:rPr>
              <w:t xml:space="preserve"> — </w:t>
            </w:r>
            <w:r>
              <w:rPr>
                <w:rFonts w:ascii="Arial;Helvetica;sans-serif" w:hAnsi="Arial;Helvetica;sans-serif"/>
                <w:b w:val="false"/>
                <w:i w:val="false"/>
                <w:caps w:val="false"/>
                <w:smallCaps w:val="false"/>
                <w:sz w:val="20"/>
              </w:rPr>
              <w:t>Our Board and Board committees engage in a self-evaluation process annually.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High Rate of Board Attendance</w:t>
            </w:r>
            <w:r>
              <w:rPr>
                <w:caps w:val="false"/>
                <w:smallCaps w:val="false"/>
              </w:rPr>
              <w:t xml:space="preserve"> — </w:t>
            </w:r>
            <w:r>
              <w:rPr>
                <w:rFonts w:ascii="Arial;Helvetica;sans-serif" w:hAnsi="Arial;Helvetica;sans-serif"/>
                <w:b w:val="false"/>
                <w:i w:val="false"/>
                <w:caps w:val="false"/>
                <w:smallCaps w:val="false"/>
                <w:sz w:val="20"/>
              </w:rPr>
              <w:t>In Fiscal 2026, each of our directors serving on the Board attended at least 75% of the Board and committee meetings on which he or she sat during his or her tenure.</w:t>
            </w:r>
          </w:p>
        </w:tc>
      </w:tr>
    </w:tbl>
    <w:tbl>
      <w:tblPr>
        <w:tblW w:w="7337" w:type="dxa"/>
        <w:jc w:val="left"/>
        <w:tblInd w:w="0" w:type="dxa"/>
        <w:tblLayout w:type="fixed"/>
        <w:tblCellMar>
          <w:top w:w="0" w:type="dxa"/>
          <w:left w:w="0" w:type="dxa"/>
          <w:bottom w:w="0" w:type="dxa"/>
          <w:right w:w="0" w:type="dxa"/>
        </w:tblCellMar>
      </w:tblPr>
      <w:tblGrid>
        <w:gridCol w:w="271"/>
        <w:gridCol w:w="7066"/>
      </w:tblGrid>
      <w:tr>
        <w:trPr/>
        <w:tc>
          <w:tcPr>
            <w:tcW w:w="271" w:type="dxa"/>
            <w:tcBorders/>
            <w:vAlign w:val="center"/>
          </w:tcPr>
          <w:p>
            <w:pPr>
              <w:pStyle w:val="TableContents"/>
              <w:bidi w:val="0"/>
              <w:spacing w:before="0" w:after="283"/>
              <w:jc w:val="left"/>
              <w:rPr/>
            </w:pPr>
            <w:r>
              <w:rPr/>
              <w:t>●</w:t>
            </w:r>
          </w:p>
        </w:tc>
        <w:tc>
          <w:tcPr>
            <w:tcW w:w="7066" w:type="dxa"/>
            <w:tcBorders/>
            <w:vAlign w:val="center"/>
          </w:tcPr>
          <w:p>
            <w:pPr>
              <w:pStyle w:val="TableContents"/>
              <w:bidi w:val="0"/>
              <w:spacing w:before="0" w:after="283"/>
              <w:jc w:val="left"/>
              <w:rPr/>
            </w:pPr>
            <w:r>
              <w:rPr>
                <w:rFonts w:ascii="Arial;Helvetica;sans-serif" w:hAnsi="Arial;Helvetica;sans-serif"/>
                <w:b/>
                <w:i/>
                <w:sz w:val="20"/>
              </w:rPr>
              <w:t>No Poison Pill</w:t>
            </w:r>
            <w:r>
              <w:rPr>
                <w:caps w:val="false"/>
                <w:smallCaps w:val="false"/>
              </w:rPr>
              <w:t xml:space="preserve"> — </w:t>
            </w:r>
            <w:r>
              <w:rPr>
                <w:rFonts w:ascii="Arial;Helvetica;sans-serif" w:hAnsi="Arial;Helvetica;sans-serif"/>
                <w:b w:val="false"/>
                <w:i w:val="false"/>
                <w:caps w:val="false"/>
                <w:smallCaps w:val="false"/>
                <w:sz w:val="20"/>
              </w:rPr>
              <w:t>The Company currently does not have a poison pill in place.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Strong Stock Ownership Guidelines for Directors and Executive Officers</w:t>
            </w:r>
            <w:r>
              <w:rPr>
                <w:caps w:val="false"/>
                <w:smallCaps w:val="false"/>
              </w:rPr>
              <w:t xml:space="preserve"> — </w:t>
            </w:r>
            <w:r>
              <w:rPr>
                <w:rFonts w:ascii="Arial;Helvetica;sans-serif" w:hAnsi="Arial;Helvetica;sans-serif"/>
                <w:b w:val="false"/>
                <w:i w:val="false"/>
                <w:caps w:val="false"/>
                <w:smallCaps w:val="false"/>
                <w:sz w:val="20"/>
              </w:rPr>
              <w:t>We have adopted Stock Ownership Guidelines for directors, executives and key managers to effectively link the interests of management and our shareowners and to promote an ownership culture throughout our organization. We believe that stock should be acquired and held in quantities that encourage management to make decisions and take actions that will enhance Company performance and increase its value.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sz w:val="20"/>
              </w:rPr>
              <w:t>Policies Prohibiting Hedging, Pledging, and Shorting Company Securities</w:t>
            </w:r>
            <w:r>
              <w:rPr>
                <w:caps w:val="false"/>
                <w:smallCaps w:val="false"/>
              </w:rPr>
              <w:t xml:space="preserve"> — </w:t>
            </w:r>
            <w:r>
              <w:rPr>
                <w:rFonts w:ascii="Arial;Helvetica;sans-serif" w:hAnsi="Arial;Helvetica;sans-serif"/>
                <w:b w:val="false"/>
                <w:i w:val="false"/>
                <w:caps w:val="false"/>
                <w:smallCaps w:val="false"/>
                <w:sz w:val="20"/>
              </w:rPr>
              <w:t>Our insider trading policy prohibits the hedging, pledging and shorting of Company stock by any member of the Board, executive officer, or other corporate officer, as defined in the policy, and their family members, without the prior approval and express authorization of the Company’s General Counsel. An exception to this prohibition may be granted where an individual wishes to pledge Company stock as collateral for a loan (not including margin debt) and clearly demonstrates the financial capacity to repay the loan without resorting to the pledged stock.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Fiscal 2026 Summary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achieved the following performance in sales, profitability and returns for Fiscal 2026 (see Appendix A for a reconciliation of these non-GAAP financial measures to the comparable GAAP measures):</w:t>
      </w:r>
    </w:p>
    <w:p>
      <w:pPr>
        <w:pStyle w:val="TextBody"/>
        <w:bidi w:val="0"/>
        <w:spacing w:before="0" w:after="0"/>
        <w:ind w:left="0" w:right="0" w:hanging="0"/>
        <w:jc w:val="left"/>
        <w:rPr/>
      </w:pPr>
      <w:r>
        <w:rPr/>
        <w:t>​</w:t>
      </w:r>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Sales of $2.4 billion for Fiscal 2026, compared with sales of $2.0 billion for Fiscal 2025.</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income attributable to Kennametal for Fiscal 2026 was $342.4 million, compared to $93.1 million in Fiscal 2025.</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Earnings Before Interest, Taxes, Depreciation and Amortization (“EBITDA”) for Fiscal 2026 was $623 million, or 26.4% EBITDA margin. Adjusted EBITDA for Fiscal 2026 was $634 million, or 26.9% Adjusted EBITDA margin. EBITDA for Fiscal 2025 was $285 million, or 14.5% EBITDA margin. Adjusted EBITDA for Fiscal 2025 was $299 million, or 15.2% Adjusted EBITDA margin. </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Return on Invested Capital (“ROIC”) for Fiscal 2026 was 18.3% compared with 6.2% in Fiscal 2025. Adjusted ROIC for Fiscal 2026 was 18.8% compared with Adjusted ROIC of 6.8% in Fiscal 2025.</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Primary Working Capital was $1,147 million as of June 30, 2026, compared to $638 million as of June 30, 2025. Primary Working Capital as a Percent of Sales (“PWCPS”) was 33.5% as of June 30, 2026, compared to 31.9% as of June 30, 2025.</w:t>
            </w:r>
          </w:p>
        </w:tc>
      </w:tr>
    </w:tbl>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 xml:space="preserve">Executive Compensation Highlights for Fiscal 2026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are the highlights of our 2026 executive compensation program:</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has adopted a strong pay-for-performance philosophy which is evaluated on an annual basis through a realizable pay-for-performance alignment assessment for the CEO position conducted by the Committee’s independent consultant. This assessment has revealed strong alignment between our CEO’s historical realizable compensation and our company’s performance compared to peers over the past three years.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Compensation is paid in a mix of base salary, annual cash-based incentives under our AIP, and equity-based long-term incentive awards.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Compensation is significantly tied to Company and Segment financial and stock performance, so that a substantial portion of the compensation provided to our executive officers is performance-based and at risk.</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has adopted certain design methodologies in our incentive arrangements to help mitigate the impact of cyclicality, commodity exposure and other factors which can impact performance goals established by the Committee and actual payouts received by executives. These methodologies include: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cash-based incentive plan: “first half” and “second half” goal setting for certain metrics that comprise 70% of the AIP weight, which provides the Committee with better insights into economic conditions that can rapidly impact our business either positively or negatively. Unless for special approved circumstances, no payments are made until the end of the fiscal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PSU plan: Adjusted ROIC performance goals established annually for each fiscal year. Unless for special approved circumstances, no awards are paid until following the full three-year performance period. The Committee adopted this methodology to alleviate instances where rapidly changing economic conditions render performance goals either not challenging (goals set in an economic trough) or unachievable early in the three-year performance period which can result in retention risks. Adjusted ROIC performance goals and related payouts for Fiscal 2026 were approved by the Committee in July 2025. Adjusted ROIC performance goals for Fiscal 2027 and Fiscal 2028 will be determined near the beginning of each of the subsequent fiscal years. The Committee approved the Average Adjusted EBITDA Margin goal and related payouts at its July 2025 meeting for the full three-year performance period.</w:t>
            </w:r>
          </w:p>
        </w:tc>
      </w:tr>
    </w:tbl>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Payment of annual cash-based incentives under the AIP is based on achieving critical measures of Company and Segment performance, consistent with our pay-for-performance philosophy. Payments earned under the Fiscal 2026 AIP were based on financial metrics with two six-month performance periods and one financial metric with a twelve-month performance period, while the nonfinancial goals were measured over the full fiscal year. The financial metrics and weightings are described below in the section </w:t>
            </w:r>
            <w:r>
              <w:rPr/>
              <w:t>“</w:t>
            </w:r>
            <w:r>
              <w:rPr>
                <w:rFonts w:ascii="Arial;Helvetica;sans-serif" w:hAnsi="Arial;Helvetica;sans-serif"/>
                <w:b w:val="false"/>
                <w:i/>
                <w:sz w:val="20"/>
              </w:rPr>
              <w:t>Changes to Executive Compensation Arrangements in Fiscal 2026.”  </w:t>
            </w:r>
            <w:r>
              <w:rPr>
                <w:rFonts w:ascii="Arial;Helvetica;sans-serif" w:hAnsi="Arial;Helvetica;sans-serif"/>
                <w:b w:val="false"/>
                <w:i w:val="false"/>
                <w:caps w:val="false"/>
                <w:smallCaps w:val="false"/>
                <w:sz w:val="20"/>
              </w:rPr>
              <w:t>Unless for special approved circumstances, no award earned is paid prior to the end of the fiscal year.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equity-based long-term incentive program is intended to drive the achievement of critical long-term business objectives, align management’s interests with those of our shareowners and foster retention of key executives. In Fiscal 2026, 60% of the target value of each executive’s long-term incentive opportunity was granted as PSUs and 40% was granted as RSUs, all of which are settled in stock. Unless for special approved circumstances, RSUs continue to vest at the rate of one-third per year on each grant date anniversary over three years.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Vesting of Fiscal 2026 PSUs is based on the attainment of an Adjusted ROIC financial performance goal (50% weight) and Average Adjusted EBITDA Margin (50% weight). PSUs are subject to an additional continuous service requirement, which provides that award recipients must remain employed by the Company through the distribution date to receive the units, which, unless for special approved circumstances, is three years after the grant date. For Fiscal 2026, only one-third of the Adjusted ROIC component of the FY2026-2028 PSU award will be reported in the subsequent tables following the Compensation and Human Capital Committee Report, as financial targets for remaining tranches will be set at or near the beginning of each subsequent fiscal year. Accordingly, only the Fiscal 2026 tranche for Adjusted ROIC performance is included as part of the grant under applicable disclosure rules in the tables below. The remaining tranches will be reported as separate grants when the applicable PSU targets are established.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general practice, AIP awards are not paid prior to the end of the fiscal year. Also, as a general practice, RSUs and PSUs will not have accelerated vesting. However, for compensation planning purposes and to promote leadership stability during a time of market uncertainty and some volatility in the Company’s stock price in calendar year 2025, the Committee took the following actions related to the compensation of our named executive officers (“NEOs”):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 of the NEOs’ Fiscal 2026 AIP targets were paid in December 2025, and a final true-up payment occurred based on the actual Fiscal 2026 performance following the Committee’s certification at the July 2026 Committee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RSUs granted as annual awards in Fiscal 2024 and Fiscal 2025 and scheduled to vest in Fiscal 2026 had their vesting accelerated to December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PSUs granted in Fiscal 2024 and earned in Fiscal 2024 and Fiscal 2025 due to Adjusted ROIC completed performance periods and scheduled to vest in Fiscal 2026 had their vesting accelerated to December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Associated with these payments and vesting events, the NEOs signed clawback agreements that required repayment of all accelerated cash and equity-based amounts if they were to voluntarily end their employment with the company prior to August 15, 2026.</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Fiscal 2026 financial and non-financial performance had the following effects on the performance-based awards held by our NEOs:</w:t>
      </w:r>
    </w:p>
    <w:p>
      <w:pPr>
        <w:pStyle w:val="TextBody"/>
        <w:bidi w:val="0"/>
        <w:spacing w:before="240" w:after="120"/>
        <w:ind w:left="504" w:right="0" w:hanging="0"/>
        <w:jc w:val="left"/>
        <w:rPr>
          <w:rFonts w:ascii="Arial;Helvetica;sans-serif" w:hAnsi="Arial;Helvetica;sans-serif"/>
          <w:b/>
          <w:sz w:val="24"/>
        </w:rPr>
      </w:pPr>
      <w:r>
        <w:rPr>
          <w:rFonts w:ascii="Arial;Helvetica;sans-serif" w:hAnsi="Arial;Helvetica;sans-serif"/>
          <w:b/>
          <w:sz w:val="24"/>
        </w:rPr>
        <w:t>Fiscal 2026 AIP</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Fiscal 2026, including “first half” and “second half” performance, the total payout for twelve months was as follows, based on performance against our financial metrics and including the nonfinancial goals: Mr. Chowbey’s AIP award was earned at 146.0% of target; Mr. Watson and Ms. Keating’s  were earned at 145.5% of target; Mr. Bersaglini’s  was earned at 143.1% of target; and Mr. Hamadi’s was earned at 147.7% of target.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504" w:right="0" w:hanging="0"/>
        <w:jc w:val="left"/>
        <w:rPr>
          <w:rFonts w:ascii="Arial;Helvetica;sans-serif" w:hAnsi="Arial;Helvetica;sans-serif"/>
          <w:b/>
          <w:sz w:val="24"/>
        </w:rPr>
      </w:pPr>
      <w:r>
        <w:rPr>
          <w:rFonts w:ascii="Arial;Helvetica;sans-serif" w:hAnsi="Arial;Helvetica;sans-serif"/>
          <w:b/>
          <w:sz w:val="24"/>
        </w:rPr>
        <w:t>Performance Stock Units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first of three tranches of the 2026 PSUs tied to Adjusted ROIC achieved performance at a 200% multiple of target. Average Adjusted EBITDA Margin is yet to be calculated for the three-year period ending June 30, 2028. No payment has been made under the 2026 PSUs.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second of three tranches of the 2025 PSUs tied to Adjusted ROIC achieved performance, at a 200% multiple of target. The tranche tied to Average Adjusted EBITDA Margin is yet to be calculated for the three-year period ending June 30, 2027. No payment has been made under the 2025 PSUs.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third of three tranches of the 2024 PSUs tied to Adjusted ROIC achieved performance at a 200% multiple of target, and when combined with the first and second tranches tied to Adjusted ROIC, the three tranches achieved 116.1% multiple of target and comprised 66.66% of the number of PSUs awarded. The tranche tied to Average Adjusted EBITDA Margin, which comprised 33.34% of the number of PSUs awarded, achieved performance at a 200% payout multiple of target over the three-year performance period. The cumulative total payout multiple was 144.1% of target for the combined three years of ROIC performance (fiscal years 2024, 2025, and 2026) and Average Adjusted EBITDA Margin for fiscal years 2024 through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6" w:name="TOC"/>
      <w:bookmarkStart w:id="7" w:name="_9ed130a8_37f3_4c90_b00e_12f8bf477c60"/>
      <w:bookmarkEnd w:id="6"/>
      <w:bookmarkEnd w:id="7"/>
      <w:r>
        <w:rPr>
          <w:rFonts w:ascii="Arial;Helvetica;sans-serif" w:hAnsi="Arial;Helvetica;sans-serif"/>
          <w:b/>
          <w:sz w:val="32"/>
        </w:rPr>
        <w:t>Table of Contents</w:t>
      </w:r>
    </w:p>
    <w:tbl>
      <w:tblPr>
        <w:tblW w:w="10205" w:type="dxa"/>
        <w:jc w:val="left"/>
        <w:tblInd w:w="0" w:type="dxa"/>
        <w:tblLayout w:type="fixed"/>
        <w:tblCellMar>
          <w:top w:w="0" w:type="dxa"/>
          <w:left w:w="0" w:type="dxa"/>
          <w:bottom w:w="0" w:type="dxa"/>
          <w:right w:w="0" w:type="dxa"/>
        </w:tblCellMar>
      </w:tblPr>
      <w:tblGrid>
        <w:gridCol w:w="9355"/>
        <w:gridCol w:w="346"/>
        <w:gridCol w:w="504"/>
      </w:tblGrid>
      <w:tr>
        <w:trPr/>
        <w:tc>
          <w:tcPr>
            <w:tcW w:w="9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940425" cy="359410"/>
                      <wp:effectExtent l="0" t="0" r="0" b="0"/>
                      <wp:wrapNone/>
                      <wp:docPr id="53" name="Frame33"/>
                      <a:graphic xmlns:a="http://schemas.openxmlformats.org/drawingml/2006/main">
                        <a:graphicData uri="http://schemas.microsoft.com/office/word/2010/wordprocessingShape">
                          <wps:wsp>
                            <wps:cNvSpPr txBox="1"/>
                            <wps:spPr>
                              <a:xfrm>
                                <a:off x="0" y="0"/>
                                <a:ext cx="5940425" cy="359410"/>
                              </a:xfrm>
                              <a:prstGeom prst="rect"/>
                              <a:solidFill>
                                <a:srgbClr val="FFFFFF"/>
                              </a:solidFill>
                            </wps:spPr>
                            <wps:txbx>
                              <w:txbxContent>
                                <w:p>
                                  <w:pPr>
                                    <w:pStyle w:val="TableContents"/>
                                    <w:bidi w:val="0"/>
                                    <w:spacing w:before="20" w:after="20"/>
                                    <w:ind w:left="0" w:right="0" w:hanging="0"/>
                                    <w:jc w:val="left"/>
                                    <w:rPr/>
                                  </w:pPr>
                                  <w:r>
                                    <w:rPr/>
                                    <w:t>​</w:t>
                                  </w:r>
                                </w:p>
                                <w:p>
                                  <w:pPr>
                                    <w:pStyle w:val="TableContents"/>
                                    <w:bidi w:val="0"/>
                                    <w:spacing w:before="20" w:after="20"/>
                                    <w:ind w:left="0" w:right="0" w:hanging="0"/>
                                    <w:jc w:val="left"/>
                                    <w:rPr>
                                      <w:rFonts w:ascii="Arial;Helvetica;sans-serif" w:hAnsi="Arial;Helvetica;sans-serif"/>
                                      <w:sz w:val="20"/>
                                    </w:rPr>
                                  </w:pPr>
                                  <w:r>
                                    <w:rPr>
                                      <w:rFonts w:ascii="Arial;Helvetica;sans-serif" w:hAnsi="Arial;Helvetica;sans-serif"/>
                                      <w:sz w:val="20"/>
                                    </w:rPr>
                                    <w:t>HIDDEN_ROW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7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20" w:after="20"/>
                              <w:ind w:left="0" w:right="0" w:hanging="0"/>
                              <w:jc w:val="left"/>
                              <w:rPr/>
                            </w:pPr>
                            <w:r>
                              <w:rPr/>
                              <w:t>​</w:t>
                            </w:r>
                          </w:p>
                          <w:p>
                            <w:pPr>
                              <w:pStyle w:val="TableContents"/>
                              <w:bidi w:val="0"/>
                              <w:spacing w:before="20" w:after="20"/>
                              <w:ind w:left="0" w:right="0" w:hanging="0"/>
                              <w:jc w:val="left"/>
                              <w:rPr>
                                <w:rFonts w:ascii="Arial;Helvetica;sans-serif" w:hAnsi="Arial;Helvetica;sans-serif"/>
                                <w:sz w:val="20"/>
                              </w:rPr>
                            </w:pPr>
                            <w:r>
                              <w:rPr>
                                <w:rFonts w:ascii="Arial;Helvetica;sans-serif" w:hAnsi="Arial;Helvetica;sans-serif"/>
                                <w:sz w:val="20"/>
                              </w:rPr>
                              <w:t>HIDDEN_ROW</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29210"/>
                      <wp:effectExtent l="0" t="0" r="0" b="0"/>
                      <wp:wrapNone/>
                      <wp:docPr id="54" name="Frame3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20040" cy="29210"/>
                      <wp:effectExtent l="0" t="0" r="0" b="0"/>
                      <wp:wrapNone/>
                      <wp:docPr id="55" name="Frame35"/>
                      <a:graphic xmlns:a="http://schemas.openxmlformats.org/drawingml/2006/main">
                        <a:graphicData uri="http://schemas.microsoft.com/office/word/2010/wordprocessingShape">
                          <wps:wsp>
                            <wps:cNvSpPr txBox="1"/>
                            <wps:spPr>
                              <a:xfrm>
                                <a:off x="0" y="0"/>
                                <a:ext cx="3200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355" w:type="dxa"/>
            <w:tcBorders>
              <w:bottom w:val="single" w:sz="8" w:space="0" w:color="FFCD00"/>
            </w:tcBorders>
            <w:tcMar>
              <w:bottom w:w="28" w:type="dxa"/>
            </w:tcMar>
            <w:vAlign w:val="center"/>
          </w:tcPr>
          <w:p>
            <w:pPr>
              <w:pStyle w:val="TableContents"/>
              <w:pBdr/>
              <w:bidi w:val="0"/>
              <w:spacing w:before="0" w:after="40"/>
              <w:ind w:left="0" w:right="0" w:hanging="0"/>
              <w:jc w:val="left"/>
              <w:rPr/>
            </w:pPr>
            <w:hyperlink w:anchor="GeneralInformation_699932">
              <w:r>
                <w:rPr>
                  <w:rStyle w:val="InternetLink"/>
                  <w:rFonts w:ascii="Arial;Helvetica;sans-serif" w:hAnsi="Arial;Helvetica;sans-serif"/>
                  <w:b/>
                  <w:i w:val="false"/>
                  <w:caps w:val="false"/>
                  <w:smallCaps w:val="false"/>
                  <w:sz w:val="20"/>
                </w:rPr>
                <w:t>GENERAL INFORMATION</w:t>
              </w:r>
            </w:hyperlink>
          </w:p>
        </w:tc>
        <w:tc>
          <w:tcPr>
            <w:tcW w:w="346" w:type="dxa"/>
            <w:tcBorders>
              <w:bottom w:val="single" w:sz="8" w:space="0" w:color="FFCD00"/>
            </w:tcBorders>
            <w:tcMar>
              <w:bottom w:w="28" w:type="dxa"/>
            </w:tcMar>
            <w:vAlign w:val="center"/>
          </w:tcPr>
          <w:p>
            <w:pPr>
              <w:pStyle w:val="TableContents"/>
              <w:bidi w:val="0"/>
              <w:spacing w:before="0" w:after="40"/>
              <w:ind w:left="0" w:right="0" w:hanging="0"/>
              <w:jc w:val="left"/>
              <w:rPr/>
            </w:pPr>
            <w:r>
              <w:rPr/>
              <w:t>  ​ ​ ​</w:t>
            </w:r>
          </w:p>
        </w:tc>
        <w:tc>
          <w:tcPr>
            <w:tcW w:w="504" w:type="dxa"/>
            <w:tcBorders>
              <w:bottom w:val="single" w:sz="8" w:space="0" w:color="FFCD00"/>
            </w:tcBorders>
            <w:tcMar>
              <w:bottom w:w="28" w:type="dxa"/>
            </w:tcMar>
            <w:vAlign w:val="center"/>
          </w:tcPr>
          <w:p>
            <w:pPr>
              <w:pStyle w:val="TableContents"/>
              <w:bidi w:val="0"/>
              <w:spacing w:before="0" w:after="40"/>
              <w:ind w:left="0" w:right="0" w:hanging="0"/>
              <w:jc w:val="right"/>
              <w:rPr>
                <w:rFonts w:ascii="Arial;Helvetica;sans-serif" w:hAnsi="Arial;Helvetica;sans-serif"/>
                <w:b/>
                <w:sz w:val="20"/>
              </w:rPr>
            </w:pPr>
            <w:r>
              <w:rPr>
                <w:rFonts w:ascii="Arial;Helvetica;sans-serif" w:hAnsi="Arial;Helvetica;sans-serif"/>
                <w:b/>
                <w:sz w:val="20"/>
              </w:rPr>
              <w:t>1</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ProposalIElectionofDirectors_259666">
              <w:r>
                <w:rPr>
                  <w:rStyle w:val="InternetLink"/>
                  <w:rFonts w:ascii="Arial;Helvetica;sans-serif" w:hAnsi="Arial;Helvetica;sans-serif"/>
                  <w:b/>
                  <w:i w:val="false"/>
                  <w:caps w:val="false"/>
                  <w:smallCaps w:val="false"/>
                  <w:sz w:val="20"/>
                </w:rPr>
                <w:t>PROPOSAL I. ELECTION OF DIRECTORS</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7</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EthicsandCorporateGovernance_133382">
              <w:r>
                <w:rPr>
                  <w:rStyle w:val="InternetLink"/>
                  <w:rFonts w:ascii="Arial;Helvetica;sans-serif" w:hAnsi="Arial;Helvetica;sans-serif"/>
                  <w:b/>
                  <w:i w:val="false"/>
                  <w:caps w:val="false"/>
                  <w:smallCaps w:val="false"/>
                  <w:sz w:val="20"/>
                </w:rPr>
                <w:t>ETHICS AND CORPORATE GOVERNANCE</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14</w:t>
            </w:r>
          </w:p>
        </w:tc>
      </w:tr>
      <w:tr>
        <w:trPr/>
        <w:tc>
          <w:tcPr>
            <w:tcW w:w="9355" w:type="dxa"/>
            <w:tcBorders/>
            <w:vAlign w:val="center"/>
          </w:tcPr>
          <w:p>
            <w:pPr>
              <w:pStyle w:val="TableContents"/>
              <w:pBdr/>
              <w:bidi w:val="0"/>
              <w:spacing w:before="40" w:after="0"/>
              <w:ind w:left="0" w:right="0" w:hanging="0"/>
              <w:jc w:val="left"/>
              <w:rPr/>
            </w:pPr>
            <w:hyperlink w:anchor="CodeofConduct_234447">
              <w:r>
                <w:rPr>
                  <w:rStyle w:val="InternetLink"/>
                  <w:rFonts w:ascii="Arial;Helvetica;sans-serif" w:hAnsi="Arial;Helvetica;sans-serif"/>
                  <w:b w:val="false"/>
                  <w:i w:val="false"/>
                  <w:caps w:val="false"/>
                  <w:smallCaps w:val="false"/>
                  <w:sz w:val="18"/>
                </w:rPr>
                <w:t>Code of Conduct</w:t>
              </w:r>
            </w:hyperlink>
          </w:p>
        </w:tc>
        <w:tc>
          <w:tcPr>
            <w:tcW w:w="346" w:type="dxa"/>
            <w:tcBorders/>
            <w:vAlign w:val="center"/>
          </w:tcPr>
          <w:p>
            <w:pPr>
              <w:pStyle w:val="TableContents"/>
              <w:bidi w:val="0"/>
              <w:spacing w:before="40" w:after="0"/>
              <w:ind w:left="0" w:right="0" w:hanging="0"/>
              <w:jc w:val="left"/>
              <w:rPr/>
            </w:pPr>
            <w:r>
              <w:rPr/>
              <w:t>​</w:t>
            </w:r>
          </w:p>
        </w:tc>
        <w:tc>
          <w:tcPr>
            <w:tcW w:w="504" w:type="dxa"/>
            <w:tcBorders/>
            <w:vAlign w:val="center"/>
          </w:tcPr>
          <w:p>
            <w:pPr>
              <w:pStyle w:val="TableContents"/>
              <w:bidi w:val="0"/>
              <w:spacing w:before="40" w:after="0"/>
              <w:ind w:left="0" w:right="0" w:hanging="0"/>
              <w:jc w:val="right"/>
              <w:rPr>
                <w:rFonts w:ascii="Arial;Helvetica;sans-serif" w:hAnsi="Arial;Helvetica;sans-serif"/>
                <w:b/>
                <w:sz w:val="18"/>
              </w:rPr>
            </w:pPr>
            <w:r>
              <w:rPr>
                <w:rFonts w:ascii="Arial;Helvetica;sans-serif" w:hAnsi="Arial;Helvetica;sans-serif"/>
                <w:b/>
                <w:sz w:val="18"/>
              </w:rPr>
              <w:t>14</w:t>
            </w:r>
          </w:p>
        </w:tc>
      </w:tr>
      <w:tr>
        <w:trPr/>
        <w:tc>
          <w:tcPr>
            <w:tcW w:w="9355" w:type="dxa"/>
            <w:tcBorders/>
            <w:vAlign w:val="center"/>
          </w:tcPr>
          <w:p>
            <w:pPr>
              <w:pStyle w:val="TableContents"/>
              <w:pBdr/>
              <w:bidi w:val="0"/>
              <w:spacing w:before="0" w:after="0"/>
              <w:ind w:left="0" w:right="0" w:hanging="0"/>
              <w:jc w:val="left"/>
              <w:rPr/>
            </w:pPr>
            <w:hyperlink w:anchor="CorporateGovernance_996604">
              <w:r>
                <w:rPr>
                  <w:rStyle w:val="InternetLink"/>
                  <w:rFonts w:ascii="Arial;Helvetica;sans-serif" w:hAnsi="Arial;Helvetica;sans-serif"/>
                  <w:b w:val="false"/>
                  <w:i w:val="false"/>
                  <w:caps w:val="false"/>
                  <w:smallCaps w:val="false"/>
                  <w:sz w:val="18"/>
                </w:rPr>
                <w:t>Corporate Governance</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14</w:t>
            </w:r>
          </w:p>
        </w:tc>
      </w:tr>
      <w:tr>
        <w:trPr/>
        <w:tc>
          <w:tcPr>
            <w:tcW w:w="9355" w:type="dxa"/>
            <w:tcBorders/>
            <w:vAlign w:val="center"/>
          </w:tcPr>
          <w:p>
            <w:pPr>
              <w:pStyle w:val="TableContents"/>
              <w:pBdr/>
              <w:bidi w:val="0"/>
              <w:spacing w:before="0" w:after="0"/>
              <w:ind w:left="0" w:right="0" w:hanging="0"/>
              <w:jc w:val="left"/>
              <w:rPr/>
            </w:pPr>
            <w:hyperlink w:anchor="TheBoardsOversightofRiskManagement_50902">
              <w:r>
                <w:rPr>
                  <w:rStyle w:val="InternetLink"/>
                  <w:rFonts w:ascii="Arial;Helvetica;sans-serif" w:hAnsi="Arial;Helvetica;sans-serif"/>
                  <w:b w:val="false"/>
                  <w:i w:val="false"/>
                  <w:caps w:val="false"/>
                  <w:smallCaps w:val="false"/>
                  <w:sz w:val="18"/>
                </w:rPr>
                <w:t>The Board’s Oversight of Risk Management</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20</w:t>
            </w:r>
          </w:p>
        </w:tc>
      </w:tr>
      <w:tr>
        <w:trPr/>
        <w:tc>
          <w:tcPr>
            <w:tcW w:w="9355" w:type="dxa"/>
            <w:tcBorders/>
            <w:vAlign w:val="center"/>
          </w:tcPr>
          <w:p>
            <w:pPr>
              <w:pStyle w:val="TableContents"/>
              <w:pBdr/>
              <w:bidi w:val="0"/>
              <w:spacing w:before="0" w:after="0"/>
              <w:ind w:left="0" w:right="0" w:hanging="0"/>
              <w:jc w:val="left"/>
              <w:rPr/>
            </w:pPr>
            <w:hyperlink w:anchor="EnvironmentalSocialandGovernanceReportin">
              <w:r>
                <w:rPr>
                  <w:rStyle w:val="InternetLink"/>
                  <w:rFonts w:ascii="Arial;Helvetica;sans-serif" w:hAnsi="Arial;Helvetica;sans-serif"/>
                  <w:b w:val="false"/>
                  <w:i w:val="false"/>
                  <w:caps w:val="false"/>
                  <w:smallCaps w:val="false"/>
                  <w:sz w:val="18"/>
                </w:rPr>
                <w:t>Corporate Responsibility Reporting</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20</w:t>
            </w:r>
          </w:p>
        </w:tc>
      </w:tr>
      <w:tr>
        <w:trPr/>
        <w:tc>
          <w:tcPr>
            <w:tcW w:w="9355" w:type="dxa"/>
            <w:tcBorders>
              <w:bottom w:val="single" w:sz="8" w:space="0" w:color="FFCD00"/>
            </w:tcBorders>
            <w:tcMar>
              <w:bottom w:w="28" w:type="dxa"/>
            </w:tcMar>
            <w:vAlign w:val="center"/>
          </w:tcPr>
          <w:p>
            <w:pPr>
              <w:pStyle w:val="TableContents"/>
              <w:pBdr/>
              <w:bidi w:val="0"/>
              <w:spacing w:before="40" w:after="40"/>
              <w:ind w:left="0" w:right="0" w:hanging="0"/>
              <w:jc w:val="left"/>
              <w:rPr/>
            </w:pPr>
            <w:hyperlink w:anchor="BoardofDirectorsandBoardCommittees_12803">
              <w:r>
                <w:rPr>
                  <w:rStyle w:val="InternetLink"/>
                  <w:rFonts w:ascii="Arial;Helvetica;sans-serif" w:hAnsi="Arial;Helvetica;sans-serif"/>
                  <w:b/>
                  <w:i w:val="false"/>
                  <w:caps w:val="false"/>
                  <w:smallCaps w:val="false"/>
                  <w:sz w:val="20"/>
                </w:rPr>
                <w:t>BOARD OF DIRECTORS AND BOARD COMMITTEES</w:t>
              </w:r>
            </w:hyperlink>
          </w:p>
        </w:tc>
        <w:tc>
          <w:tcPr>
            <w:tcW w:w="346" w:type="dxa"/>
            <w:tcBorders>
              <w:bottom w:val="single" w:sz="8" w:space="0" w:color="FFCD00"/>
            </w:tcBorders>
            <w:tcMar>
              <w:bottom w:w="28" w:type="dxa"/>
            </w:tcMar>
            <w:vAlign w:val="center"/>
          </w:tcPr>
          <w:p>
            <w:pPr>
              <w:pStyle w:val="TableContents"/>
              <w:bidi w:val="0"/>
              <w:spacing w:before="40" w:after="40"/>
              <w:ind w:left="0" w:right="0" w:hanging="0"/>
              <w:jc w:val="left"/>
              <w:rPr/>
            </w:pPr>
            <w:r>
              <w:rPr/>
              <w:t>​</w:t>
            </w:r>
          </w:p>
        </w:tc>
        <w:tc>
          <w:tcPr>
            <w:tcW w:w="504" w:type="dxa"/>
            <w:tcBorders>
              <w:bottom w:val="single" w:sz="8" w:space="0" w:color="FFCD00"/>
            </w:tcBorders>
            <w:tcMar>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23</w:t>
            </w:r>
          </w:p>
        </w:tc>
      </w:tr>
      <w:tr>
        <w:trPr/>
        <w:tc>
          <w:tcPr>
            <w:tcW w:w="9355" w:type="dxa"/>
            <w:tcBorders/>
            <w:vAlign w:val="center"/>
          </w:tcPr>
          <w:p>
            <w:pPr>
              <w:pStyle w:val="TableContents"/>
              <w:pBdr/>
              <w:bidi w:val="0"/>
              <w:spacing w:before="40" w:after="0"/>
              <w:ind w:left="0" w:right="0" w:hanging="0"/>
              <w:jc w:val="left"/>
              <w:rPr/>
            </w:pPr>
            <w:hyperlink w:anchor="MeetingInformation_363775">
              <w:r>
                <w:rPr>
                  <w:rStyle w:val="InternetLink"/>
                  <w:rFonts w:ascii="Arial;Helvetica;sans-serif" w:hAnsi="Arial;Helvetica;sans-serif"/>
                  <w:b w:val="false"/>
                  <w:i w:val="false"/>
                  <w:caps w:val="false"/>
                  <w:smallCaps w:val="false"/>
                  <w:sz w:val="18"/>
                </w:rPr>
                <w:t>Meeting Information</w:t>
              </w:r>
            </w:hyperlink>
          </w:p>
        </w:tc>
        <w:tc>
          <w:tcPr>
            <w:tcW w:w="346" w:type="dxa"/>
            <w:tcBorders/>
            <w:vAlign w:val="center"/>
          </w:tcPr>
          <w:p>
            <w:pPr>
              <w:pStyle w:val="TableContents"/>
              <w:bidi w:val="0"/>
              <w:spacing w:before="40" w:after="0"/>
              <w:ind w:left="0" w:right="0" w:hanging="0"/>
              <w:jc w:val="left"/>
              <w:rPr/>
            </w:pPr>
            <w:r>
              <w:rPr/>
              <w:t>​</w:t>
            </w:r>
          </w:p>
        </w:tc>
        <w:tc>
          <w:tcPr>
            <w:tcW w:w="504" w:type="dxa"/>
            <w:tcBorders/>
            <w:vAlign w:val="center"/>
          </w:tcPr>
          <w:p>
            <w:pPr>
              <w:pStyle w:val="TableContents"/>
              <w:bidi w:val="0"/>
              <w:spacing w:before="40" w:after="0"/>
              <w:ind w:left="0" w:right="0" w:hanging="0"/>
              <w:jc w:val="right"/>
              <w:rPr>
                <w:rFonts w:ascii="Arial;Helvetica;sans-serif" w:hAnsi="Arial;Helvetica;sans-serif"/>
                <w:b/>
                <w:sz w:val="18"/>
              </w:rPr>
            </w:pPr>
            <w:r>
              <w:rPr>
                <w:rFonts w:ascii="Arial;Helvetica;sans-serif" w:hAnsi="Arial;Helvetica;sans-serif"/>
                <w:b/>
                <w:sz w:val="18"/>
              </w:rPr>
              <w:t>23</w:t>
            </w:r>
          </w:p>
        </w:tc>
      </w:tr>
      <w:tr>
        <w:trPr/>
        <w:tc>
          <w:tcPr>
            <w:tcW w:w="9355" w:type="dxa"/>
            <w:tcBorders/>
            <w:vAlign w:val="center"/>
          </w:tcPr>
          <w:p>
            <w:pPr>
              <w:pStyle w:val="TableContents"/>
              <w:pBdr/>
              <w:bidi w:val="0"/>
              <w:spacing w:before="0" w:after="0"/>
              <w:ind w:left="0" w:right="0" w:hanging="0"/>
              <w:jc w:val="left"/>
              <w:rPr/>
            </w:pPr>
            <w:hyperlink w:anchor="BoardCommittees_749382">
              <w:r>
                <w:rPr>
                  <w:rStyle w:val="InternetLink"/>
                  <w:rFonts w:ascii="Arial;Helvetica;sans-serif" w:hAnsi="Arial;Helvetica;sans-serif"/>
                  <w:b w:val="false"/>
                  <w:i w:val="false"/>
                  <w:caps w:val="false"/>
                  <w:smallCaps w:val="false"/>
                  <w:sz w:val="18"/>
                </w:rPr>
                <w:t>Board Committees</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23</w:t>
            </w:r>
          </w:p>
        </w:tc>
      </w:tr>
      <w:tr>
        <w:trPr/>
        <w:tc>
          <w:tcPr>
            <w:tcW w:w="9355" w:type="dxa"/>
            <w:tcBorders/>
            <w:vAlign w:val="center"/>
          </w:tcPr>
          <w:p>
            <w:pPr>
              <w:pStyle w:val="TableContents"/>
              <w:pBdr/>
              <w:bidi w:val="0"/>
              <w:spacing w:before="0" w:after="0"/>
              <w:ind w:left="0" w:right="0" w:hanging="0"/>
              <w:jc w:val="left"/>
              <w:rPr/>
            </w:pPr>
            <w:hyperlink w:anchor="CommitteeFunctions_376041">
              <w:r>
                <w:rPr>
                  <w:rStyle w:val="InternetLink"/>
                  <w:rFonts w:ascii="Arial;Helvetica;sans-serif" w:hAnsi="Arial;Helvetica;sans-serif"/>
                  <w:b w:val="false"/>
                  <w:i w:val="false"/>
                  <w:caps w:val="false"/>
                  <w:smallCaps w:val="false"/>
                  <w:sz w:val="18"/>
                </w:rPr>
                <w:t>Committee Functions</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24</w:t>
            </w:r>
          </w:p>
        </w:tc>
      </w:tr>
      <w:tr>
        <w:trPr/>
        <w:tc>
          <w:tcPr>
            <w:tcW w:w="9355" w:type="dxa"/>
            <w:tcBorders/>
            <w:vAlign w:val="center"/>
          </w:tcPr>
          <w:p>
            <w:pPr>
              <w:pStyle w:val="TableContents"/>
              <w:pBdr/>
              <w:bidi w:val="0"/>
              <w:spacing w:before="0" w:after="0"/>
              <w:ind w:left="0" w:right="0" w:hanging="0"/>
              <w:jc w:val="left"/>
              <w:rPr/>
            </w:pPr>
            <w:hyperlink w:anchor="BoardofDirectorsCompensationandBenefits_">
              <w:r>
                <w:rPr>
                  <w:rStyle w:val="InternetLink"/>
                  <w:rFonts w:ascii="Arial;Helvetica;sans-serif" w:hAnsi="Arial;Helvetica;sans-serif"/>
                  <w:b w:val="false"/>
                  <w:i w:val="false"/>
                  <w:caps w:val="false"/>
                  <w:smallCaps w:val="false"/>
                  <w:sz w:val="18"/>
                </w:rPr>
                <w:t>Board of Directors Compensation and Benefits</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25</w:t>
            </w:r>
          </w:p>
        </w:tc>
      </w:tr>
      <w:tr>
        <w:trPr/>
        <w:tc>
          <w:tcPr>
            <w:tcW w:w="9355" w:type="dxa"/>
            <w:tcBorders>
              <w:bottom w:val="single" w:sz="8" w:space="0" w:color="FFCD00"/>
            </w:tcBorders>
            <w:tcMar>
              <w:bottom w:w="28" w:type="dxa"/>
            </w:tcMar>
            <w:vAlign w:val="center"/>
          </w:tcPr>
          <w:p>
            <w:pPr>
              <w:pStyle w:val="TableContents"/>
              <w:pBdr/>
              <w:bidi w:val="0"/>
              <w:spacing w:before="40" w:after="40"/>
              <w:ind w:left="0" w:right="0" w:hanging="0"/>
              <w:jc w:val="left"/>
              <w:rPr/>
            </w:pPr>
            <w:hyperlink w:anchor="AuditCommitteeReport_116281">
              <w:r>
                <w:rPr>
                  <w:rStyle w:val="InternetLink"/>
                  <w:rFonts w:ascii="Arial;Helvetica;sans-serif" w:hAnsi="Arial;Helvetica;sans-serif"/>
                  <w:b/>
                  <w:i w:val="false"/>
                  <w:caps w:val="false"/>
                  <w:smallCaps w:val="false"/>
                  <w:sz w:val="20"/>
                </w:rPr>
                <w:t>AUDIT COMMITTEE REPORT</w:t>
              </w:r>
            </w:hyperlink>
          </w:p>
        </w:tc>
        <w:tc>
          <w:tcPr>
            <w:tcW w:w="346" w:type="dxa"/>
            <w:tcBorders>
              <w:bottom w:val="single" w:sz="8" w:space="0" w:color="FFCD00"/>
            </w:tcBorders>
            <w:tcMar>
              <w:bottom w:w="28" w:type="dxa"/>
            </w:tcMar>
            <w:vAlign w:val="center"/>
          </w:tcPr>
          <w:p>
            <w:pPr>
              <w:pStyle w:val="TableContents"/>
              <w:bidi w:val="0"/>
              <w:spacing w:before="40" w:after="40"/>
              <w:ind w:left="0" w:right="0" w:hanging="0"/>
              <w:jc w:val="left"/>
              <w:rPr/>
            </w:pPr>
            <w:r>
              <w:rPr/>
              <w:t>​</w:t>
            </w:r>
          </w:p>
        </w:tc>
        <w:tc>
          <w:tcPr>
            <w:tcW w:w="504" w:type="dxa"/>
            <w:tcBorders>
              <w:bottom w:val="single" w:sz="8" w:space="0" w:color="FFCD00"/>
            </w:tcBorders>
            <w:tcMar>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29</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ProposalIIRatification_572218">
              <w:r>
                <w:rPr>
                  <w:rStyle w:val="InternetLink"/>
                  <w:rFonts w:ascii="Arial;Helvetica;sans-serif" w:hAnsi="Arial;Helvetica;sans-serif"/>
                  <w:b/>
                  <w:i w:val="false"/>
                  <w:caps w:val="false"/>
                  <w:smallCaps w:val="false"/>
                  <w:sz w:val="20"/>
                </w:rPr>
                <w:t>PROPOSAL II. RATIFICATION OF PRICEWATERHOUSECOOPERS LLP AS OUR INDEPENDENT REGISTERED PUBLIC ACCOUNTING FIRM FOR THE FISCAL YEAR ENDING JUNE 30, 2027</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ExecutiveCompensation_449158">
              <w:r>
                <w:rPr>
                  <w:rStyle w:val="InternetLink"/>
                  <w:rFonts w:ascii="Arial;Helvetica;sans-serif" w:hAnsi="Arial;Helvetica;sans-serif"/>
                  <w:b/>
                  <w:i w:val="false"/>
                  <w:caps w:val="false"/>
                  <w:smallCaps w:val="false"/>
                  <w:sz w:val="20"/>
                </w:rPr>
                <w:t>EXECUTIVE COMPENSATION</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ExecutiveCompensation_449158">
              <w:r>
                <w:rPr>
                  <w:rStyle w:val="InternetLink"/>
                  <w:rFonts w:ascii="Arial;Helvetica;sans-serif" w:hAnsi="Arial;Helvetica;sans-serif"/>
                  <w:b/>
                  <w:i w:val="false"/>
                  <w:caps w:val="false"/>
                  <w:smallCaps w:val="false"/>
                  <w:sz w:val="20"/>
                </w:rPr>
                <w:t>COMPENSATION DISCUSSION AND ANALYSIS</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9355" w:type="dxa"/>
            <w:tcBorders/>
            <w:vAlign w:val="center"/>
          </w:tcPr>
          <w:p>
            <w:pPr>
              <w:pStyle w:val="TableContents"/>
              <w:pBdr/>
              <w:bidi w:val="0"/>
              <w:spacing w:before="40" w:after="0"/>
              <w:ind w:left="0" w:right="0" w:hanging="0"/>
              <w:jc w:val="left"/>
              <w:rPr/>
            </w:pPr>
            <w:hyperlink w:anchor="Fiscal2023Summary_379540">
              <w:r>
                <w:rPr>
                  <w:rStyle w:val="InternetLink"/>
                  <w:rFonts w:ascii="Arial;Helvetica;sans-serif" w:hAnsi="Arial;Helvetica;sans-serif"/>
                  <w:b w:val="false"/>
                  <w:i w:val="false"/>
                  <w:caps w:val="false"/>
                  <w:smallCaps w:val="false"/>
                  <w:sz w:val="18"/>
                </w:rPr>
                <w:t>Fiscal 2026 Summary</w:t>
              </w:r>
            </w:hyperlink>
          </w:p>
        </w:tc>
        <w:tc>
          <w:tcPr>
            <w:tcW w:w="346" w:type="dxa"/>
            <w:tcBorders/>
            <w:vAlign w:val="center"/>
          </w:tcPr>
          <w:p>
            <w:pPr>
              <w:pStyle w:val="TableContents"/>
              <w:bidi w:val="0"/>
              <w:spacing w:before="40" w:after="0"/>
              <w:ind w:left="0" w:right="0" w:hanging="0"/>
              <w:jc w:val="left"/>
              <w:rPr/>
            </w:pPr>
            <w:r>
              <w:rPr/>
              <w:t>​</w:t>
            </w:r>
          </w:p>
        </w:tc>
        <w:tc>
          <w:tcPr>
            <w:tcW w:w="504" w:type="dxa"/>
            <w:tcBorders/>
            <w:vAlign w:val="center"/>
          </w:tcPr>
          <w:p>
            <w:pPr>
              <w:pStyle w:val="TableContents"/>
              <w:bidi w:val="0"/>
              <w:spacing w:before="40" w:after="0"/>
              <w:ind w:left="0" w:right="0" w:hanging="0"/>
              <w:jc w:val="right"/>
              <w:rPr>
                <w:rFonts w:ascii="Arial;Helvetica;sans-serif" w:hAnsi="Arial;Helvetica;sans-serif"/>
                <w:b/>
                <w:sz w:val="18"/>
              </w:rPr>
            </w:pPr>
            <w:r>
              <w:rPr>
                <w:rFonts w:ascii="Arial;Helvetica;sans-serif" w:hAnsi="Arial;Helvetica;sans-serif"/>
                <w:b/>
                <w:sz w:val="18"/>
              </w:rPr>
              <w:t>33</w:t>
            </w:r>
          </w:p>
        </w:tc>
      </w:tr>
      <w:tr>
        <w:trPr/>
        <w:tc>
          <w:tcPr>
            <w:tcW w:w="9355" w:type="dxa"/>
            <w:tcBorders/>
            <w:vAlign w:val="center"/>
          </w:tcPr>
          <w:p>
            <w:pPr>
              <w:pStyle w:val="TableContents"/>
              <w:pBdr/>
              <w:bidi w:val="0"/>
              <w:spacing w:before="0" w:after="0"/>
              <w:ind w:left="0" w:right="0" w:hanging="0"/>
              <w:jc w:val="left"/>
              <w:rPr/>
            </w:pPr>
            <w:hyperlink w:anchor="ExecutiveCompensationHighlightsforFiscal">
              <w:r>
                <w:rPr>
                  <w:rStyle w:val="InternetLink"/>
                  <w:rFonts w:ascii="Arial;Helvetica;sans-serif" w:hAnsi="Arial;Helvetica;sans-serif"/>
                  <w:b w:val="false"/>
                  <w:i w:val="false"/>
                  <w:caps w:val="false"/>
                  <w:smallCaps w:val="false"/>
                  <w:sz w:val="18"/>
                </w:rPr>
                <w:t>Executive Compensation Highlights for Fiscal 2026</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34</w:t>
            </w:r>
          </w:p>
        </w:tc>
      </w:tr>
      <w:tr>
        <w:trPr/>
        <w:tc>
          <w:tcPr>
            <w:tcW w:w="9355" w:type="dxa"/>
            <w:tcBorders/>
            <w:vAlign w:val="center"/>
          </w:tcPr>
          <w:p>
            <w:pPr>
              <w:pStyle w:val="TableContents"/>
              <w:pBdr/>
              <w:bidi w:val="0"/>
              <w:spacing w:before="0" w:after="0"/>
              <w:ind w:left="0" w:right="0" w:hanging="0"/>
              <w:jc w:val="left"/>
              <w:rPr/>
            </w:pPr>
            <w:hyperlink w:anchor="RelationshipBetweenPayandPerformance_550">
              <w:r>
                <w:rPr>
                  <w:rStyle w:val="InternetLink"/>
                  <w:rFonts w:ascii="Arial;Helvetica;sans-serif" w:hAnsi="Arial;Helvetica;sans-serif"/>
                  <w:b w:val="false"/>
                  <w:i w:val="false"/>
                  <w:caps w:val="false"/>
                  <w:smallCaps w:val="false"/>
                  <w:sz w:val="18"/>
                </w:rPr>
                <w:t>Relationship Between Pay and Performance</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37</w:t>
            </w:r>
          </w:p>
        </w:tc>
      </w:tr>
      <w:tr>
        <w:trPr/>
        <w:tc>
          <w:tcPr>
            <w:tcW w:w="9355" w:type="dxa"/>
            <w:tcBorders/>
            <w:vAlign w:val="center"/>
          </w:tcPr>
          <w:p>
            <w:pPr>
              <w:pStyle w:val="TableContents"/>
              <w:pBdr/>
              <w:bidi w:val="0"/>
              <w:spacing w:before="0" w:after="0"/>
              <w:ind w:left="0" w:right="0" w:hanging="0"/>
              <w:jc w:val="left"/>
              <w:rPr/>
            </w:pPr>
            <w:hyperlink w:anchor="DesignofOurExecutiveCompensationProgram_">
              <w:r>
                <w:rPr>
                  <w:rStyle w:val="InternetLink"/>
                  <w:rFonts w:ascii="Arial;Helvetica;sans-serif" w:hAnsi="Arial;Helvetica;sans-serif"/>
                  <w:b w:val="false"/>
                  <w:i w:val="false"/>
                  <w:caps w:val="false"/>
                  <w:smallCaps w:val="false"/>
                  <w:sz w:val="18"/>
                </w:rPr>
                <w:t>Design of our Executive Compensation Program</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39</w:t>
            </w:r>
          </w:p>
        </w:tc>
      </w:tr>
      <w:tr>
        <w:trPr/>
        <w:tc>
          <w:tcPr>
            <w:tcW w:w="9355" w:type="dxa"/>
            <w:tcBorders/>
            <w:vAlign w:val="center"/>
          </w:tcPr>
          <w:p>
            <w:pPr>
              <w:pStyle w:val="TableContents"/>
              <w:pBdr/>
              <w:bidi w:val="0"/>
              <w:spacing w:before="0" w:after="0"/>
              <w:ind w:left="0" w:right="0" w:hanging="0"/>
              <w:jc w:val="left"/>
              <w:rPr/>
            </w:pPr>
            <w:hyperlink w:anchor="HowCompensationDecisionsAreMade_309666">
              <w:r>
                <w:rPr>
                  <w:rStyle w:val="InternetLink"/>
                  <w:rFonts w:ascii="Arial;Helvetica;sans-serif" w:hAnsi="Arial;Helvetica;sans-serif"/>
                  <w:b w:val="false"/>
                  <w:i w:val="false"/>
                  <w:caps w:val="false"/>
                  <w:smallCaps w:val="false"/>
                  <w:sz w:val="18"/>
                </w:rPr>
                <w:t>How Compensation Decisions are Made</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42</w:t>
            </w:r>
          </w:p>
        </w:tc>
      </w:tr>
      <w:tr>
        <w:trPr/>
        <w:tc>
          <w:tcPr>
            <w:tcW w:w="9355" w:type="dxa"/>
            <w:tcBorders/>
            <w:vAlign w:val="center"/>
          </w:tcPr>
          <w:p>
            <w:pPr>
              <w:pStyle w:val="TableContents"/>
              <w:pBdr/>
              <w:bidi w:val="0"/>
              <w:spacing w:before="0" w:after="0"/>
              <w:ind w:left="0" w:right="0" w:hanging="0"/>
              <w:jc w:val="left"/>
              <w:rPr/>
            </w:pPr>
            <w:hyperlink w:anchor="a2023ExecutiveCompensationProgram_732815">
              <w:r>
                <w:rPr>
                  <w:rStyle w:val="InternetLink"/>
                  <w:rFonts w:ascii="Arial;Helvetica;sans-serif" w:hAnsi="Arial;Helvetica;sans-serif"/>
                  <w:b w:val="false"/>
                  <w:i w:val="false"/>
                  <w:caps w:val="false"/>
                  <w:smallCaps w:val="false"/>
                  <w:sz w:val="18"/>
                </w:rPr>
                <w:t>2026 Executive Compensation Program</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44</w:t>
            </w:r>
          </w:p>
        </w:tc>
      </w:tr>
      <w:tr>
        <w:trPr/>
        <w:tc>
          <w:tcPr>
            <w:tcW w:w="9355" w:type="dxa"/>
            <w:tcBorders>
              <w:bottom w:val="single" w:sz="8" w:space="0" w:color="FFCD00"/>
            </w:tcBorders>
            <w:tcMar>
              <w:bottom w:w="28" w:type="dxa"/>
            </w:tcMar>
            <w:vAlign w:val="center"/>
          </w:tcPr>
          <w:p>
            <w:pPr>
              <w:pStyle w:val="TableContents"/>
              <w:pBdr/>
              <w:bidi w:val="0"/>
              <w:spacing w:before="40" w:after="40"/>
              <w:ind w:left="0" w:right="0" w:hanging="0"/>
              <w:jc w:val="left"/>
              <w:rPr/>
            </w:pPr>
            <w:hyperlink w:anchor="CompensationandHumanCapitalCommitteeRepo">
              <w:r>
                <w:rPr>
                  <w:rStyle w:val="InternetLink"/>
                  <w:rFonts w:ascii="Arial;Helvetica;sans-serif" w:hAnsi="Arial;Helvetica;sans-serif"/>
                  <w:b/>
                  <w:i w:val="false"/>
                  <w:caps w:val="false"/>
                  <w:smallCaps w:val="false"/>
                  <w:sz w:val="20"/>
                </w:rPr>
                <w:t>COMPENSATION AND HUMAN CAPITAL COMMITTEE REPORT</w:t>
              </w:r>
            </w:hyperlink>
          </w:p>
        </w:tc>
        <w:tc>
          <w:tcPr>
            <w:tcW w:w="346" w:type="dxa"/>
            <w:tcBorders>
              <w:bottom w:val="single" w:sz="8" w:space="0" w:color="FFCD00"/>
            </w:tcBorders>
            <w:tcMar>
              <w:bottom w:w="28" w:type="dxa"/>
            </w:tcMar>
            <w:vAlign w:val="center"/>
          </w:tcPr>
          <w:p>
            <w:pPr>
              <w:pStyle w:val="TableContents"/>
              <w:bidi w:val="0"/>
              <w:spacing w:before="40" w:after="40"/>
              <w:ind w:left="0" w:right="0" w:hanging="0"/>
              <w:jc w:val="left"/>
              <w:rPr/>
            </w:pPr>
            <w:r>
              <w:rPr/>
              <w:t>​</w:t>
            </w:r>
          </w:p>
        </w:tc>
        <w:tc>
          <w:tcPr>
            <w:tcW w:w="504" w:type="dxa"/>
            <w:tcBorders>
              <w:bottom w:val="single" w:sz="8" w:space="0" w:color="FFCD00"/>
            </w:tcBorders>
            <w:tcMar>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59</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AnalysisofRiskInherentinourCompensation_">
              <w:r>
                <w:rPr>
                  <w:rStyle w:val="InternetLink"/>
                  <w:rFonts w:ascii="Arial;Helvetica;sans-serif" w:hAnsi="Arial;Helvetica;sans-serif"/>
                  <w:b/>
                  <w:i w:val="false"/>
                  <w:caps w:val="false"/>
                  <w:smallCaps w:val="false"/>
                  <w:sz w:val="20"/>
                </w:rPr>
                <w:t>ANALYSIS OF RISK INHERENT IN OUR COMPENSATION POLICIES AND PRACTICES</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60</w:t>
            </w:r>
          </w:p>
        </w:tc>
      </w:tr>
      <w:tr>
        <w:trPr/>
        <w:tc>
          <w:tcPr>
            <w:tcW w:w="9355" w:type="dxa"/>
            <w:tcBorders/>
            <w:vAlign w:val="center"/>
          </w:tcPr>
          <w:p>
            <w:pPr>
              <w:pStyle w:val="TableContents"/>
              <w:pBdr/>
              <w:bidi w:val="0"/>
              <w:spacing w:before="40" w:after="0"/>
              <w:ind w:left="0" w:right="0" w:hanging="0"/>
              <w:jc w:val="left"/>
              <w:rPr/>
            </w:pPr>
            <w:hyperlink w:anchor="ExecutiveCompensationTables_637731">
              <w:r>
                <w:rPr>
                  <w:rStyle w:val="InternetLink"/>
                  <w:rFonts w:ascii="Arial;Helvetica;sans-serif" w:hAnsi="Arial;Helvetica;sans-serif"/>
                  <w:b w:val="false"/>
                  <w:i w:val="false"/>
                  <w:caps w:val="false"/>
                  <w:smallCaps w:val="false"/>
                  <w:sz w:val="18"/>
                </w:rPr>
                <w:t>Executive Compensation Tables</w:t>
              </w:r>
            </w:hyperlink>
          </w:p>
        </w:tc>
        <w:tc>
          <w:tcPr>
            <w:tcW w:w="346" w:type="dxa"/>
            <w:tcBorders/>
            <w:vAlign w:val="center"/>
          </w:tcPr>
          <w:p>
            <w:pPr>
              <w:pStyle w:val="TableContents"/>
              <w:bidi w:val="0"/>
              <w:spacing w:before="40" w:after="0"/>
              <w:ind w:left="0" w:right="0" w:hanging="0"/>
              <w:jc w:val="left"/>
              <w:rPr/>
            </w:pPr>
            <w:r>
              <w:rPr/>
              <w:t>​</w:t>
            </w:r>
          </w:p>
        </w:tc>
        <w:tc>
          <w:tcPr>
            <w:tcW w:w="504" w:type="dxa"/>
            <w:tcBorders/>
            <w:vAlign w:val="center"/>
          </w:tcPr>
          <w:p>
            <w:pPr>
              <w:pStyle w:val="TableContents"/>
              <w:bidi w:val="0"/>
              <w:spacing w:before="40" w:after="0"/>
              <w:ind w:left="0" w:right="0" w:hanging="0"/>
              <w:jc w:val="right"/>
              <w:rPr>
                <w:rFonts w:ascii="Arial;Helvetica;sans-serif" w:hAnsi="Arial;Helvetica;sans-serif"/>
                <w:b/>
                <w:sz w:val="18"/>
              </w:rPr>
            </w:pPr>
            <w:r>
              <w:rPr>
                <w:rFonts w:ascii="Arial;Helvetica;sans-serif" w:hAnsi="Arial;Helvetica;sans-serif"/>
                <w:b/>
                <w:sz w:val="18"/>
              </w:rPr>
              <w:t>61</w:t>
            </w:r>
          </w:p>
        </w:tc>
      </w:tr>
      <w:tr>
        <w:trPr/>
        <w:tc>
          <w:tcPr>
            <w:tcW w:w="9355" w:type="dxa"/>
            <w:tcBorders/>
            <w:vAlign w:val="center"/>
          </w:tcPr>
          <w:p>
            <w:pPr>
              <w:pStyle w:val="TableContents"/>
              <w:pBdr/>
              <w:bidi w:val="0"/>
              <w:spacing w:before="0" w:after="0"/>
              <w:ind w:left="0" w:right="0" w:hanging="0"/>
              <w:jc w:val="left"/>
              <w:rPr/>
            </w:pPr>
            <w:hyperlink w:anchor="a2023NonqualifiedDeferredCompensation_19">
              <w:r>
                <w:rPr>
                  <w:rStyle w:val="InternetLink"/>
                  <w:rFonts w:ascii="Arial;Helvetica;sans-serif" w:hAnsi="Arial;Helvetica;sans-serif"/>
                  <w:b w:val="false"/>
                  <w:i w:val="false"/>
                  <w:caps w:val="false"/>
                  <w:smallCaps w:val="false"/>
                  <w:sz w:val="18"/>
                </w:rPr>
                <w:t>2026 Nonqualified Deferred Compensation and Retirement Programs</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68</w:t>
            </w:r>
          </w:p>
        </w:tc>
      </w:tr>
      <w:tr>
        <w:trPr/>
        <w:tc>
          <w:tcPr>
            <w:tcW w:w="9355" w:type="dxa"/>
            <w:tcBorders/>
            <w:vAlign w:val="center"/>
          </w:tcPr>
          <w:p>
            <w:pPr>
              <w:pStyle w:val="TableContents"/>
              <w:pBdr/>
              <w:bidi w:val="0"/>
              <w:spacing w:before="0" w:after="0"/>
              <w:ind w:left="0" w:right="0" w:hanging="0"/>
              <w:jc w:val="left"/>
              <w:rPr/>
            </w:pPr>
            <w:hyperlink w:anchor="RetirementPrograms_419488">
              <w:r>
                <w:rPr>
                  <w:rStyle w:val="InternetLink"/>
                  <w:rFonts w:ascii="Arial;Helvetica;sans-serif" w:hAnsi="Arial;Helvetica;sans-serif"/>
                  <w:b w:val="false"/>
                  <w:i w:val="false"/>
                  <w:caps w:val="false"/>
                  <w:smallCaps w:val="false"/>
                  <w:sz w:val="18"/>
                </w:rPr>
                <w:t>Retirement Programs</w:t>
              </w:r>
            </w:hyperlink>
          </w:p>
        </w:tc>
        <w:tc>
          <w:tcPr>
            <w:tcW w:w="346"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68</w:t>
            </w:r>
          </w:p>
        </w:tc>
      </w:tr>
      <w:tr>
        <w:trPr/>
        <w:tc>
          <w:tcPr>
            <w:tcW w:w="9355" w:type="dxa"/>
            <w:tcBorders>
              <w:bottom w:val="single" w:sz="8" w:space="0" w:color="FFCD00"/>
            </w:tcBorders>
            <w:tcMar>
              <w:bottom w:w="28" w:type="dxa"/>
            </w:tcMar>
            <w:vAlign w:val="center"/>
          </w:tcPr>
          <w:p>
            <w:pPr>
              <w:pStyle w:val="TableContents"/>
              <w:pBdr/>
              <w:bidi w:val="0"/>
              <w:spacing w:before="40" w:after="40"/>
              <w:ind w:left="0" w:right="0" w:hanging="0"/>
              <w:jc w:val="left"/>
              <w:rPr/>
            </w:pPr>
            <w:hyperlink w:anchor="EquityCompensationPlans_173293">
              <w:r>
                <w:rPr>
                  <w:rStyle w:val="InternetLink"/>
                  <w:rFonts w:ascii="Arial;Helvetica;sans-serif" w:hAnsi="Arial;Helvetica;sans-serif"/>
                  <w:b/>
                  <w:i w:val="false"/>
                  <w:caps w:val="false"/>
                  <w:smallCaps w:val="false"/>
                  <w:sz w:val="20"/>
                </w:rPr>
                <w:t>EQUITY COMPENSATION PLANS</w:t>
              </w:r>
            </w:hyperlink>
          </w:p>
        </w:tc>
        <w:tc>
          <w:tcPr>
            <w:tcW w:w="346" w:type="dxa"/>
            <w:tcBorders>
              <w:bottom w:val="single" w:sz="8" w:space="0" w:color="FFCD00"/>
            </w:tcBorders>
            <w:tcMar>
              <w:bottom w:w="28" w:type="dxa"/>
            </w:tcMar>
            <w:vAlign w:val="center"/>
          </w:tcPr>
          <w:p>
            <w:pPr>
              <w:pStyle w:val="TableContents"/>
              <w:bidi w:val="0"/>
              <w:spacing w:before="40" w:after="40"/>
              <w:ind w:left="0" w:right="0" w:hanging="0"/>
              <w:jc w:val="left"/>
              <w:rPr/>
            </w:pPr>
            <w:r>
              <w:rPr/>
              <w:t>​</w:t>
            </w:r>
          </w:p>
        </w:tc>
        <w:tc>
          <w:tcPr>
            <w:tcW w:w="504" w:type="dxa"/>
            <w:tcBorders>
              <w:bottom w:val="single" w:sz="8" w:space="0" w:color="FFCD00"/>
            </w:tcBorders>
            <w:tcMar>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70</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PotentialPaymentsUponTerminationorChange">
              <w:r>
                <w:rPr>
                  <w:rStyle w:val="InternetLink"/>
                  <w:rFonts w:ascii="Arial;Helvetica;sans-serif" w:hAnsi="Arial;Helvetica;sans-serif"/>
                  <w:b/>
                  <w:i w:val="false"/>
                  <w:caps w:val="false"/>
                  <w:smallCaps w:val="false"/>
                  <w:sz w:val="20"/>
                </w:rPr>
                <w:t>POTENTIAL PAYMENTS UPON TERMINATION OR CHANGE IN CONTROL</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72</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CEOPayRatioforFiscalYear2023_702787">
              <w:r>
                <w:rPr>
                  <w:rStyle w:val="InternetLink"/>
                  <w:rFonts w:ascii="Arial;Helvetica;sans-serif" w:hAnsi="Arial;Helvetica;sans-serif"/>
                  <w:b/>
                  <w:i w:val="false"/>
                  <w:caps w:val="false"/>
                  <w:smallCaps w:val="false"/>
                  <w:sz w:val="20"/>
                </w:rPr>
                <w:t>CEO PAY RATIO FOR FISCAL YEAR 2026</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78</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PayVersusPerformancePVP_166475">
              <w:r>
                <w:rPr>
                  <w:rStyle w:val="InternetLink"/>
                  <w:rFonts w:ascii="Arial;Helvetica;sans-serif" w:hAnsi="Arial;Helvetica;sans-serif"/>
                  <w:b/>
                  <w:i w:val="false"/>
                  <w:caps w:val="false"/>
                  <w:smallCaps w:val="false"/>
                  <w:sz w:val="20"/>
                </w:rPr>
                <w:t>Pay Versus Performance (“PVP”)</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79</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ProposalIIINonBindingAdvisoryVote_371511">
              <w:r>
                <w:rPr>
                  <w:rStyle w:val="InternetLink"/>
                  <w:rFonts w:ascii="Arial;Helvetica;sans-serif" w:hAnsi="Arial;Helvetica;sans-serif"/>
                  <w:b/>
                  <w:i w:val="false"/>
                  <w:caps w:val="false"/>
                  <w:smallCaps w:val="false"/>
                  <w:sz w:val="20"/>
                </w:rPr>
                <w:t>PROPOSAL III. NON-BINDING (ADVISORY) VOTE TO APPROVE THE COMPENSATION PAID TO THE COMPANY’S NAMED EXECUTIVE OFFICERS</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86</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OwnershipofCapitalStockbyDirectorsNomine">
              <w:r>
                <w:rPr>
                  <w:rStyle w:val="InternetLink"/>
                  <w:rFonts w:ascii="Arial;Helvetica;sans-serif" w:hAnsi="Arial;Helvetica;sans-serif"/>
                  <w:b/>
                  <w:i w:val="false"/>
                  <w:caps w:val="false"/>
                  <w:smallCaps w:val="false"/>
                  <w:sz w:val="20"/>
                </w:rPr>
                <w:t>OWNERSHIP OF CAPITAL STOCK BY DIRECTORS, NOMINEES AND EXECUTIVE OFFICERS</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87</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PrincipalHoldersofVotingSecurities_76241">
              <w:r>
                <w:rPr>
                  <w:rStyle w:val="InternetLink"/>
                  <w:rFonts w:ascii="Arial;Helvetica;sans-serif" w:hAnsi="Arial;Helvetica;sans-serif"/>
                  <w:b/>
                  <w:i w:val="false"/>
                  <w:caps w:val="false"/>
                  <w:smallCaps w:val="false"/>
                  <w:sz w:val="20"/>
                </w:rPr>
                <w:t>PRINCIPAL HOLDERS OF VOTING SECURITIES</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89</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Form10KAnnualReport_41642">
              <w:r>
                <w:rPr>
                  <w:rStyle w:val="InternetLink"/>
                  <w:rFonts w:ascii="Arial;Helvetica;sans-serif" w:hAnsi="Arial;Helvetica;sans-serif"/>
                  <w:b/>
                  <w:i w:val="false"/>
                  <w:caps w:val="false"/>
                  <w:smallCaps w:val="false"/>
                  <w:sz w:val="20"/>
                </w:rPr>
                <w:t>FORM 10-K ANNUAL REPORT</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90</w:t>
            </w:r>
          </w:p>
        </w:tc>
      </w:tr>
      <w:tr>
        <w:trPr/>
        <w:tc>
          <w:tcPr>
            <w:tcW w:w="9355" w:type="dxa"/>
            <w:tcBorders>
              <w:top w:val="single" w:sz="8" w:space="0" w:color="FFCD00"/>
              <w:bottom w:val="single" w:sz="8" w:space="0" w:color="FFCD00"/>
            </w:tcBorders>
            <w:tcMar>
              <w:top w:w="28" w:type="dxa"/>
              <w:bottom w:w="28" w:type="dxa"/>
            </w:tcMar>
            <w:vAlign w:val="center"/>
          </w:tcPr>
          <w:p>
            <w:pPr>
              <w:pStyle w:val="TableContents"/>
              <w:pBdr/>
              <w:bidi w:val="0"/>
              <w:spacing w:before="40" w:after="40"/>
              <w:ind w:left="0" w:right="0" w:hanging="0"/>
              <w:jc w:val="left"/>
              <w:rPr/>
            </w:pPr>
            <w:hyperlink w:anchor="OtherMatters_310523">
              <w:r>
                <w:rPr>
                  <w:rStyle w:val="InternetLink"/>
                  <w:rFonts w:ascii="Arial;Helvetica;sans-serif" w:hAnsi="Arial;Helvetica;sans-serif"/>
                  <w:b/>
                  <w:i w:val="false"/>
                  <w:caps w:val="false"/>
                  <w:smallCaps w:val="false"/>
                  <w:sz w:val="20"/>
                </w:rPr>
                <w:t>OTHER MATTERS</w:t>
              </w:r>
            </w:hyperlink>
          </w:p>
        </w:tc>
        <w:tc>
          <w:tcPr>
            <w:tcW w:w="346"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left"/>
              <w:rPr/>
            </w:pPr>
            <w:r>
              <w:rPr/>
              <w:t>​</w:t>
            </w:r>
          </w:p>
        </w:tc>
        <w:tc>
          <w:tcPr>
            <w:tcW w:w="504" w:type="dxa"/>
            <w:tcBorders>
              <w:top w:val="single" w:sz="8" w:space="0" w:color="FFCD00"/>
              <w:bottom w:val="single" w:sz="8" w:space="0" w:color="FFCD00"/>
            </w:tcBorders>
            <w:tcMar>
              <w:top w:w="28" w:type="dxa"/>
              <w:bottom w:w="28" w:type="dxa"/>
            </w:tcMar>
            <w:vAlign w:val="center"/>
          </w:tcPr>
          <w:p>
            <w:pPr>
              <w:pStyle w:val="TableContents"/>
              <w:bidi w:val="0"/>
              <w:spacing w:before="40" w:after="40"/>
              <w:ind w:left="0" w:right="0" w:hanging="0"/>
              <w:jc w:val="right"/>
              <w:rPr>
                <w:rFonts w:ascii="Arial;Helvetica;sans-serif" w:hAnsi="Arial;Helvetica;sans-serif"/>
                <w:b/>
                <w:sz w:val="20"/>
              </w:rPr>
            </w:pPr>
            <w:r>
              <w:rPr>
                <w:rFonts w:ascii="Arial;Helvetica;sans-serif" w:hAnsi="Arial;Helvetica;sans-serif"/>
                <w:b/>
                <w:sz w:val="20"/>
              </w:rPr>
              <w:t>91</w:t>
            </w:r>
          </w:p>
        </w:tc>
      </w:tr>
      <w:tr>
        <w:trPr/>
        <w:tc>
          <w:tcPr>
            <w:tcW w:w="9355" w:type="dxa"/>
            <w:tcBorders/>
            <w:vAlign w:val="center"/>
          </w:tcPr>
          <w:p>
            <w:pPr>
              <w:pStyle w:val="TableContents"/>
              <w:pBdr/>
              <w:bidi w:val="0"/>
              <w:spacing w:before="40" w:after="0"/>
              <w:ind w:left="0" w:right="0" w:hanging="0"/>
              <w:jc w:val="left"/>
              <w:rPr/>
            </w:pPr>
            <w:hyperlink w:anchor="DelinquentSection16aReports_558537">
              <w:r>
                <w:rPr>
                  <w:rStyle w:val="InternetLink"/>
                  <w:rFonts w:ascii="Arial;Helvetica;sans-serif" w:hAnsi="Arial;Helvetica;sans-serif"/>
                  <w:b w:val="false"/>
                  <w:i w:val="false"/>
                  <w:caps w:val="false"/>
                  <w:smallCaps w:val="false"/>
                  <w:sz w:val="18"/>
                </w:rPr>
                <w:t>Delinquent Section 16(a) Reports</w:t>
              </w:r>
            </w:hyperlink>
          </w:p>
        </w:tc>
        <w:tc>
          <w:tcPr>
            <w:tcW w:w="346" w:type="dxa"/>
            <w:tcBorders/>
            <w:vAlign w:val="center"/>
          </w:tcPr>
          <w:p>
            <w:pPr>
              <w:pStyle w:val="TableContents"/>
              <w:bidi w:val="0"/>
              <w:spacing w:before="40" w:after="0"/>
              <w:ind w:left="0" w:right="0" w:hanging="0"/>
              <w:jc w:val="left"/>
              <w:rPr/>
            </w:pPr>
            <w:r>
              <w:rPr/>
              <w:t>​</w:t>
            </w:r>
          </w:p>
        </w:tc>
        <w:tc>
          <w:tcPr>
            <w:tcW w:w="504" w:type="dxa"/>
            <w:tcBorders/>
            <w:vAlign w:val="center"/>
          </w:tcPr>
          <w:p>
            <w:pPr>
              <w:pStyle w:val="TableContents"/>
              <w:bidi w:val="0"/>
              <w:spacing w:before="40" w:after="0"/>
              <w:ind w:left="0" w:right="0" w:hanging="0"/>
              <w:jc w:val="right"/>
              <w:rPr>
                <w:rFonts w:ascii="Arial;Helvetica;sans-serif" w:hAnsi="Arial;Helvetica;sans-serif"/>
                <w:b/>
                <w:sz w:val="18"/>
              </w:rPr>
            </w:pPr>
            <w:r>
              <w:rPr>
                <w:rFonts w:ascii="Arial;Helvetica;sans-serif" w:hAnsi="Arial;Helvetica;sans-serif"/>
                <w:b/>
                <w:sz w:val="18"/>
              </w:rPr>
              <w:t>91</w:t>
            </w:r>
          </w:p>
        </w:tc>
      </w:tr>
      <w:tr>
        <w:trPr/>
        <w:tc>
          <w:tcPr>
            <w:tcW w:w="9355" w:type="dxa"/>
            <w:tcBorders>
              <w:bottom w:val="single" w:sz="8" w:space="0" w:color="FFCD00"/>
            </w:tcBorders>
            <w:tcMar>
              <w:bottom w:w="28" w:type="dxa"/>
            </w:tcMar>
            <w:vAlign w:val="center"/>
          </w:tcPr>
          <w:p>
            <w:pPr>
              <w:pStyle w:val="TableContents"/>
              <w:pBdr/>
              <w:bidi w:val="0"/>
              <w:spacing w:before="40" w:after="40"/>
              <w:ind w:left="0" w:right="0" w:hanging="0"/>
              <w:jc w:val="left"/>
              <w:rPr/>
            </w:pPr>
            <w:hyperlink w:anchor="AppendixAEBITDAEBITDAMarginAdjustedEBITD">
              <w:r>
                <w:rPr>
                  <w:rStyle w:val="InternetLink"/>
                  <w:rFonts w:ascii="Arial;Helvetica;sans-serif" w:hAnsi="Arial;Helvetica;sans-serif"/>
                  <w:b/>
                  <w:i w:val="false"/>
                  <w:caps w:val="false"/>
                  <w:smallCaps w:val="false"/>
                  <w:sz w:val="20"/>
                </w:rPr>
                <w:t>APPENDIX A — EBITDA, EBITDA MARGIN, ADJUSTED EBITDA, ADJUSTED EBITDA MARGIN, PWC, PWCPS, ROIC, ADJUSTED ROIC RECONCILIATIONS, AND AVERAGE ADJUSTED EBITDA MARGIN</w:t>
              </w:r>
            </w:hyperlink>
          </w:p>
        </w:tc>
        <w:tc>
          <w:tcPr>
            <w:tcW w:w="346" w:type="dxa"/>
            <w:tcBorders>
              <w:bottom w:val="single" w:sz="8" w:space="0" w:color="FFCD00"/>
            </w:tcBorders>
            <w:tcMar>
              <w:bottom w:w="28" w:type="dxa"/>
            </w:tcMar>
            <w:vAlign w:val="center"/>
          </w:tcPr>
          <w:p>
            <w:pPr>
              <w:pStyle w:val="TableContents"/>
              <w:bidi w:val="0"/>
              <w:spacing w:before="40" w:after="40"/>
              <w:ind w:left="0" w:right="0" w:hanging="0"/>
              <w:jc w:val="left"/>
              <w:rPr/>
            </w:pPr>
            <w:r>
              <w:rPr/>
              <w:t>​</w:t>
            </w:r>
          </w:p>
        </w:tc>
        <w:tc>
          <w:tcPr>
            <w:tcW w:w="504" w:type="dxa"/>
            <w:tcBorders>
              <w:bottom w:val="single" w:sz="8" w:space="0" w:color="FFCD00"/>
            </w:tcBorders>
            <w:tcMar>
              <w:bottom w:w="28" w:type="dxa"/>
            </w:tcMar>
            <w:vAlign w:val="center"/>
          </w:tcPr>
          <w:p>
            <w:pPr>
              <w:pStyle w:val="TableContents"/>
              <w:bidi w:val="0"/>
              <w:spacing w:before="40" w:after="40"/>
              <w:ind w:left="0" w:right="115" w:hanging="0"/>
              <w:jc w:val="right"/>
              <w:rPr>
                <w:rFonts w:ascii="Arial;Helvetica;sans-serif" w:hAnsi="Arial;Helvetica;sans-serif"/>
                <w:b/>
                <w:sz w:val="20"/>
              </w:rPr>
            </w:pPr>
            <w:r>
              <w:rPr>
                <w:rFonts w:ascii="Arial;Helvetica;sans-serif" w:hAnsi="Arial;Helvetica;sans-serif"/>
                <w:b/>
                <w:sz w:val="20"/>
              </w:rPr>
              <w:t>A-1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8" w:name="GeneralInformation_699932"/>
      <w:bookmarkStart w:id="9" w:name="_91bf9059_ee66_4148_97f2_93d032be9a4c"/>
      <w:bookmarkEnd w:id="8"/>
      <w:bookmarkEnd w:id="9"/>
      <w:r>
        <w:rPr>
          <w:rFonts w:ascii="Arial;Helvetica;sans-serif" w:hAnsi="Arial;Helvetica;sans-serif"/>
          <w:b/>
          <w:sz w:val="32"/>
        </w:rPr>
        <w:t>General Information</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When and where is the 2026 Annual Meeting?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2026 Annual Meeting of shareowners (the “Annual Meeting”) will be held virtually, through a live, audio-only webcast, on Tuesday, October 27, 2026, at 2:00 p.m. (Eastern Time). Shareowners of record may attend the Annual Meeting online, vote and submit questions during the Annual Meeting by visiting www.virtualshareholdermeeting.com/KMT2026 and entering the 16-digit Control Number included on the Notice, on the proxy card or on the instructions that accompanied the proxy materials. There will not be a physical meeting location.</w:t>
      </w:r>
    </w:p>
    <w:p>
      <w:pPr>
        <w:pStyle w:val="TextBody"/>
        <w:bidi w:val="0"/>
        <w:spacing w:before="240" w:after="120"/>
        <w:ind w:left="0" w:right="0" w:hanging="0"/>
        <w:jc w:val="both"/>
        <w:rPr>
          <w:rFonts w:ascii="Arial;Helvetica;sans-serif" w:hAnsi="Arial;Helvetica;sans-serif"/>
          <w:b/>
          <w:sz w:val="24"/>
        </w:rPr>
      </w:pPr>
      <w:r>
        <w:rPr>
          <w:rFonts w:ascii="Arial;Helvetica;sans-serif" w:hAnsi="Arial;Helvetica;sans-serif"/>
          <w:b/>
          <w:sz w:val="24"/>
        </w:rPr>
        <w:t>Why did I receive a Notice in the mail regarding the Internet availability of proxy materials instead of a full set paper copy of this Proxy Statement and the 2026 Annual Report?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are utilizing an SEC rule that allows companies to furnish their proxy materials over the Internet rather than in paper form. This rule allows a company to send some or all its shareowners a Notice regarding Internet availability of proxy materials (“Notice”). Instructions on how to access the proxy materials over the Internet or how to request a paper copy of proxy materials may be found in the Notice.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you have received a Notice and you would prefer to receive proxy materials (including a proxy card) in printed form by mail or electronically by email, please follow the instructions contained in the Notice.</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Why didn’t I receive a Notice in the mail regarding the Internet availability of proxy materials?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SEC rules that allow us to furnish our proxy materials over the Internet rather than in paper form do not require us to do so for all shareowners. We may choose to send certain shareowners the Notice, while sending other shareowners a full set paper copy of our Proxy Statement, 2026 Annual Report, Notice and Proxy Card.</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How can I access the proxy materials over the Internet?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Notice contains instructions on how to view the proxy materials on the Internet, vote your shares on the Internet and obtain printed or electronic copies of the proxy materials. An electronic copy of this Proxy Statement and the 2026 Annual Report are available at </w:t>
      </w:r>
      <w:r>
        <w:rPr>
          <w:rFonts w:ascii="Arial;Helvetica;sans-serif" w:hAnsi="Arial;Helvetica;sans-serif"/>
          <w:b/>
          <w:sz w:val="20"/>
        </w:rPr>
        <w:t>www.proxyvote.com.</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When was the Notice or other proxy materials mailed to shareowners?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Notice of this Proxy Statement was first mailed to shareowners on or about September 14, 2026. Once the Notice is received, shareowners have the option of (1) accessing the proxy materials, including instructions on how to vote online; or (2) requesting that those materials be sent to the shareowner on paper. Opting to receive your proxy materials online will save the Company the cost of producing and mailing documents to your home or business and will also give you an electronic link to the proxy voting site.</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Why did I receive a Notice or a copy of this Proxy Statement?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Board of Directors of Kennametal Inc. (“we,” “us,” “Kennametal” or the “Company”) is soliciting proxies to be voted at the Annual Meeting to be held on October 27, 2026, and at any adjournment of the Annual Meeting. When we ask for your proxy, we must provide you with a proxy statement that contains certain information specified by law.</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What will the shareowners vote on at the Annual Meeting?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Board of Directors has submitted three proposals for your consideration at this meeting:</w:t>
      </w:r>
    </w:p>
    <w:tbl>
      <w:tblPr>
        <w:tblW w:w="5342" w:type="dxa"/>
        <w:jc w:val="left"/>
        <w:tblInd w:w="0" w:type="dxa"/>
        <w:tblLayout w:type="fixed"/>
        <w:tblCellMar>
          <w:top w:w="0" w:type="dxa"/>
          <w:left w:w="0" w:type="dxa"/>
          <w:bottom w:w="0" w:type="dxa"/>
          <w:right w:w="0" w:type="dxa"/>
        </w:tblCellMar>
      </w:tblPr>
      <w:tblGrid>
        <w:gridCol w:w="271"/>
        <w:gridCol w:w="5071"/>
      </w:tblGrid>
      <w:tr>
        <w:trPr/>
        <w:tc>
          <w:tcPr>
            <w:tcW w:w="271"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election of nine directors for terms to expire in 2027;</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ratification of PricewaterhouseCoopers LLP as our independent registered public accounting firm for the fiscal year ending June 30, 2027; and </w:t>
            </w:r>
          </w:p>
        </w:tc>
      </w:tr>
    </w:tbl>
    <w:tbl>
      <w:tblPr>
        <w:tblW w:w="4340" w:type="dxa"/>
        <w:jc w:val="left"/>
        <w:tblInd w:w="0" w:type="dxa"/>
        <w:tblLayout w:type="fixed"/>
        <w:tblCellMar>
          <w:top w:w="0" w:type="dxa"/>
          <w:left w:w="0" w:type="dxa"/>
          <w:bottom w:w="0" w:type="dxa"/>
          <w:right w:w="0" w:type="dxa"/>
        </w:tblCellMar>
      </w:tblPr>
      <w:tblGrid>
        <w:gridCol w:w="124"/>
        <w:gridCol w:w="4216"/>
      </w:tblGrid>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2"/>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 INFORMATION</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non-binding (advisory) vote to approve the compensation paid to the Company’s named executive officers, as disclosed in this Proxy Statement.</w:t>
            </w:r>
          </w:p>
        </w:tc>
      </w:tr>
    </w:tbl>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We do not expect any other items of business to be presented at the meeting. However, in case there is an unforeseen need, your proxy also gives discretionary authority to the named proxy holders with respect to any other matters that might be brought before the meeting. Those proxy holders intend to vote your proxy on any such matter in accordance with their best judgment.</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Who is entitled to vote?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Shareowners as of the close of business on Friday, August 28, 2026, (the “Record Date”) may vote at the Annual Meeting. For all matters, you have one vote for each share of capital stock you hold on the Record Date, including shares:</w:t>
      </w:r>
    </w:p>
    <w:tbl>
      <w:tblPr>
        <w:tblW w:w="5222" w:type="dxa"/>
        <w:jc w:val="left"/>
        <w:tblInd w:w="0" w:type="dxa"/>
        <w:tblLayout w:type="fixed"/>
        <w:tblCellMar>
          <w:top w:w="0" w:type="dxa"/>
          <w:left w:w="0" w:type="dxa"/>
          <w:bottom w:w="0" w:type="dxa"/>
          <w:right w:w="0" w:type="dxa"/>
        </w:tblCellMar>
      </w:tblPr>
      <w:tblGrid>
        <w:gridCol w:w="271"/>
        <w:gridCol w:w="4951"/>
      </w:tblGrid>
      <w:tr>
        <w:trPr/>
        <w:tc>
          <w:tcPr>
            <w:tcW w:w="271" w:type="dxa"/>
            <w:tcBorders/>
            <w:vAlign w:val="center"/>
          </w:tcPr>
          <w:p>
            <w:pPr>
              <w:pStyle w:val="TableContents"/>
              <w:bidi w:val="0"/>
              <w:spacing w:before="0" w:after="283"/>
              <w:jc w:val="left"/>
              <w:rPr/>
            </w:pPr>
            <w:r>
              <w:rPr/>
              <w:t>●</w:t>
            </w:r>
          </w:p>
        </w:tc>
        <w:tc>
          <w:tcPr>
            <w:tcW w:w="4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Held directly in your name as the shareowner of record;</w:t>
            </w:r>
          </w:p>
        </w:tc>
      </w:tr>
    </w:tbl>
    <w:tbl>
      <w:tblPr>
        <w:tblW w:w="6362" w:type="dxa"/>
        <w:jc w:val="left"/>
        <w:tblInd w:w="0" w:type="dxa"/>
        <w:tblLayout w:type="fixed"/>
        <w:tblCellMar>
          <w:top w:w="0" w:type="dxa"/>
          <w:left w:w="0" w:type="dxa"/>
          <w:bottom w:w="0" w:type="dxa"/>
          <w:right w:w="0" w:type="dxa"/>
        </w:tblCellMar>
      </w:tblPr>
      <w:tblGrid>
        <w:gridCol w:w="271"/>
        <w:gridCol w:w="6091"/>
      </w:tblGrid>
      <w:tr>
        <w:trPr/>
        <w:tc>
          <w:tcPr>
            <w:tcW w:w="271" w:type="dxa"/>
            <w:tcBorders/>
            <w:vAlign w:val="center"/>
          </w:tcPr>
          <w:p>
            <w:pPr>
              <w:pStyle w:val="TableContents"/>
              <w:bidi w:val="0"/>
              <w:spacing w:before="0" w:after="283"/>
              <w:jc w:val="left"/>
              <w:rPr/>
            </w:pPr>
            <w:r>
              <w:rPr/>
              <w:t>●</w:t>
            </w:r>
          </w:p>
        </w:tc>
        <w:tc>
          <w:tcPr>
            <w:tcW w:w="60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Held for you in an account with a broker, bank or other nominee; and</w:t>
            </w:r>
          </w:p>
        </w:tc>
      </w:tr>
    </w:tbl>
    <w:tbl>
      <w:tblPr>
        <w:tblW w:w="6842" w:type="dxa"/>
        <w:jc w:val="left"/>
        <w:tblInd w:w="0" w:type="dxa"/>
        <w:tblLayout w:type="fixed"/>
        <w:tblCellMar>
          <w:top w:w="0" w:type="dxa"/>
          <w:left w:w="0" w:type="dxa"/>
          <w:bottom w:w="0" w:type="dxa"/>
          <w:right w:w="0" w:type="dxa"/>
        </w:tblCellMar>
      </w:tblPr>
      <w:tblGrid>
        <w:gridCol w:w="271"/>
        <w:gridCol w:w="6571"/>
      </w:tblGrid>
      <w:tr>
        <w:trPr/>
        <w:tc>
          <w:tcPr>
            <w:tcW w:w="271" w:type="dxa"/>
            <w:tcBorders/>
            <w:vAlign w:val="center"/>
          </w:tcPr>
          <w:p>
            <w:pPr>
              <w:pStyle w:val="TableContents"/>
              <w:bidi w:val="0"/>
              <w:spacing w:before="0" w:after="283"/>
              <w:jc w:val="left"/>
              <w:rPr/>
            </w:pPr>
            <w:r>
              <w:rPr/>
              <w:t>●</w:t>
            </w:r>
          </w:p>
        </w:tc>
        <w:tc>
          <w:tcPr>
            <w:tcW w:w="65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Attributed to your account in one of our Company-sponsored 401(k) plans.</w:t>
            </w:r>
          </w:p>
        </w:tc>
      </w:tr>
    </w:tbl>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What constitutes a quorum?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 majority of the outstanding shares, present or represented by proxy, constitutes a quorum for the Annual Meeting. As of the Record Date, August 28, 2026, </w:t>
      </w:r>
      <w:r>
        <w:rPr>
          <w:rFonts w:ascii="Arial;Helvetica;sans-serif" w:hAnsi="Arial;Helvetica;sans-serif"/>
          <w:sz w:val="20"/>
          <w:shd w:fill="FFFFFF" w:val="clear"/>
        </w:rPr>
        <w:t>76,390,031</w:t>
      </w:r>
      <w:r>
        <w:rPr>
          <w:rFonts w:ascii="Arial;Helvetica;sans-serif" w:hAnsi="Arial;Helvetica;sans-serif"/>
          <w:sz w:val="20"/>
        </w:rPr>
        <w:t xml:space="preserve"> shares of our capital stock were issued and outstanding. Abstentions and broker non-votes (which are explained below) will be counted for purposes of determining a quorum, but will not be counted as votes cast.</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How many votes are required for the approval of each item?</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nine nominees for director for terms expiring in 2027 are elected by a majority of votes cast, meaning that the number of votes cast “for” such director nominee must exceed the number of votes cast “against” such nominee in order for a director to be elected. Abstentions, broker non-votes and instructions to withhold authority to vote for one or more of the nominees will result in those nominees receiving fewer votes but will not count as votes against the nominee.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ratification of the selection of the independent auditors will be approved if the proposal receives the affirmative vote of at least a majority of the votes cast by shareowners present, virtually or by proxy, at the meeting. Abstentions will not be counted as votes cast either for or against the proposal.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paid to our named executive officers, as disclosed in this Proxy Statement, will be approved (on a non-binding, advisory basis) if the proposal receives the affirmative vote of at least a majority of the votes cast by shareowners present, virtually or by proxy, at the meeting. Abstentions and broker non-votes will not be counted as votes cast either for or against the proposal.</w:t>
            </w:r>
          </w:p>
        </w:tc>
      </w:tr>
    </w:tbl>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What are “Broker Non-Votes?”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your shares are held by a broker (i.e., “in street name”), the broker will ask you how you want your shares to be voted. If you give the broker instructions, your shares will be voted as you direct. If you do not give instructions to your broker, one of two things can happen, depending on the type of proposal. For the ratification of the selection of the independent auditors, which is considered a “routine” matter, the broker may vote your shares in its discretion.</w:t>
      </w:r>
    </w:p>
    <w:tbl>
      <w:tblPr>
        <w:tblW w:w="4409" w:type="dxa"/>
        <w:jc w:val="left"/>
        <w:tblInd w:w="0" w:type="dxa"/>
        <w:tblLayout w:type="fixed"/>
        <w:tblCellMar>
          <w:top w:w="0" w:type="dxa"/>
          <w:left w:w="0" w:type="dxa"/>
          <w:bottom w:w="0" w:type="dxa"/>
          <w:right w:w="0" w:type="dxa"/>
        </w:tblCellMar>
      </w:tblPr>
      <w:tblGrid>
        <w:gridCol w:w="4186"/>
        <w:gridCol w:w="223"/>
      </w:tblGrid>
      <w:tr>
        <w:trPr/>
        <w:tc>
          <w:tcPr>
            <w:tcW w:w="41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23"/>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GENERAL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Brokers do not have the discretion to vote your shares for the election of directors, or for the non-binding advisory vote to approve the compensation paid to our named executive officers, as disclosed in this Proxy Statement, because these proposals are considered to be “non-routine” matters. If you do not provide voting instructions to your broker for these non-routine matters, the broker may not vote your shares on these proposals at all. When that happens, it is called a “broker non-vote.”</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How do I vote?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you are a shareowner of record, you may vote your shares by any one of the following methods: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 xml:space="preserve">By Internet. </w:t>
            </w:r>
            <w:r>
              <w:rPr>
                <w:caps w:val="false"/>
                <w:smallCaps w:val="false"/>
              </w:rPr>
              <w:t>  </w:t>
            </w:r>
            <w:r>
              <w:rPr>
                <w:rFonts w:ascii="Arial;Helvetica;sans-serif" w:hAnsi="Arial;Helvetica;sans-serif"/>
                <w:b w:val="false"/>
                <w:i w:val="false"/>
                <w:caps w:val="false"/>
                <w:smallCaps w:val="false"/>
                <w:sz w:val="20"/>
              </w:rPr>
              <w:t xml:space="preserve">You may vote online prior to the meeting at </w:t>
            </w:r>
            <w:r>
              <w:rPr>
                <w:rFonts w:ascii="Arial;Helvetica;sans-serif" w:hAnsi="Arial;Helvetica;sans-serif"/>
                <w:b/>
                <w:i w:val="false"/>
                <w:caps w:val="false"/>
                <w:smallCaps w:val="false"/>
                <w:sz w:val="20"/>
              </w:rPr>
              <w:t xml:space="preserve">www.proxyvote.com. </w:t>
            </w:r>
            <w:r>
              <w:rPr>
                <w:rFonts w:ascii="Arial;Helvetica;sans-serif" w:hAnsi="Arial;Helvetica;sans-serif"/>
                <w:b w:val="false"/>
                <w:i w:val="false"/>
                <w:caps w:val="false"/>
                <w:smallCaps w:val="false"/>
                <w:sz w:val="20"/>
              </w:rPr>
              <w:t>Follow the instructions on the Notice or in the proxy card for voting prior to the meeting. Voting on the Internet has the same effect as voting by mail. If you vote on the Internet, you do not need to return a proxy card. Internet voting will be available until 11:59 p.m. Eastern Time on October 26, 2026.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 xml:space="preserve">By telephone. </w:t>
            </w:r>
            <w:r>
              <w:rPr>
                <w:caps w:val="false"/>
                <w:smallCaps w:val="false"/>
              </w:rPr>
              <w:t>  </w:t>
            </w:r>
            <w:r>
              <w:rPr>
                <w:rFonts w:ascii="Arial;Helvetica;sans-serif" w:hAnsi="Arial;Helvetica;sans-serif"/>
                <w:b w:val="false"/>
                <w:i w:val="false"/>
                <w:caps w:val="false"/>
                <w:smallCaps w:val="false"/>
                <w:sz w:val="20"/>
              </w:rPr>
              <w:t xml:space="preserve">You may vote by telephone by dialing </w:t>
            </w:r>
            <w:r>
              <w:rPr>
                <w:rFonts w:ascii="Arial;Helvetica;sans-serif" w:hAnsi="Arial;Helvetica;sans-serif"/>
                <w:b/>
                <w:i w:val="false"/>
                <w:caps w:val="false"/>
                <w:smallCaps w:val="false"/>
                <w:sz w:val="20"/>
              </w:rPr>
              <w:t>1-800-690-6903.</w:t>
            </w:r>
            <w:r>
              <w:rPr>
                <w:caps w:val="false"/>
                <w:smallCaps w:val="false"/>
              </w:rPr>
              <w:t xml:space="preserve"> </w:t>
            </w:r>
            <w:r>
              <w:rPr>
                <w:rFonts w:ascii="Arial;Helvetica;sans-serif" w:hAnsi="Arial;Helvetica;sans-serif"/>
                <w:b w:val="false"/>
                <w:i w:val="false"/>
                <w:caps w:val="false"/>
                <w:smallCaps w:val="false"/>
                <w:sz w:val="20"/>
              </w:rPr>
              <w:t>Follow the instructions on your Notice or proxy card. Voting by telephone has the same effect as voting by mail. If you vote by telephone, you do not need to return a proxy card. Telephone voting will be available until 11:59 p.m. Eastern Time on October 26, 2026.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 xml:space="preserve">By mail. </w:t>
            </w:r>
            <w:r>
              <w:rPr>
                <w:caps w:val="false"/>
                <w:smallCaps w:val="false"/>
              </w:rPr>
              <w:t>  </w:t>
            </w:r>
            <w:r>
              <w:rPr>
                <w:rFonts w:ascii="Arial;Helvetica;sans-serif" w:hAnsi="Arial;Helvetica;sans-serif"/>
                <w:b w:val="false"/>
                <w:i w:val="false"/>
                <w:caps w:val="false"/>
                <w:smallCaps w:val="false"/>
                <w:sz w:val="20"/>
              </w:rPr>
              <w:t>The Notice includes directions on how to request paper copies of this Proxy Statement, the 2026 Annual Report and a proxy card. Once you receive a paper proxy card, you may vote your shares by signing and dating each proxy card that you receive and returning it in the prepaid envelope. Sign your name exactly as it appears on the proxy card.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 xml:space="preserve">Online during meeting. </w:t>
            </w:r>
            <w:r>
              <w:rPr>
                <w:caps w:val="false"/>
                <w:smallCaps w:val="false"/>
              </w:rPr>
              <w:t>  </w:t>
            </w:r>
            <w:r>
              <w:rPr>
                <w:rFonts w:ascii="Arial;Helvetica;sans-serif" w:hAnsi="Arial;Helvetica;sans-serif"/>
                <w:b w:val="false"/>
                <w:i w:val="false"/>
                <w:caps w:val="false"/>
                <w:smallCaps w:val="false"/>
                <w:sz w:val="20"/>
              </w:rPr>
              <w:t>If you are a shareowner of record, you may vote your shares online by attending the virtual Annual Meeting. However, we encourage you to vote in advance by proxy card, by telephone or on the Internet even if you plan to attend the virtual Annual Meeting.</w:t>
            </w:r>
          </w:p>
        </w:tc>
      </w:tr>
    </w:tbl>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How do I vote shares that are held by my broker?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you own shares held by a broker or other nominee (i.e., in “street name”), you may instruct your broker or other nominee to vote your shares by following the instructions that your broker or nominee provides to you. Most brokers offer voting by mail, by telephone and on the Internet.</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How do I vote my shares in the 401(k)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You will receive voting instructions from the plan trustee. You may instruct the plan trustee on how to vote (including not to vote) your shares in the 401(k) plan in writing, or by other means available.</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How can I revoke a proxy or change my vote?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You have the right to revoke your proxy and change your vote at any time before the meeting by (1) notifying our Vice President, Secretary and General Counsel in writing or (2) delivering a later-dated proxy card by telephone, on the Internet or by mail. If you are a shareowner of record, you may also revoke your proxy by voting online during the virtual Annual Meeting.</w:t>
      </w:r>
    </w:p>
    <w:p>
      <w:pPr>
        <w:pStyle w:val="Normal"/>
        <w:bidi w:val="0"/>
        <w:spacing w:before="0" w:after="0"/>
        <w:ind w:left="0" w:right="0" w:hanging="0"/>
        <w:jc w:val="left"/>
        <w:rPr>
          <w:sz w:val="4"/>
          <w:szCs w:val="4"/>
        </w:rPr>
      </w:pPr>
      <w:r>
        <w:rPr>
          <w:sz w:val="4"/>
          <w:szCs w:val="4"/>
        </w:rPr>
      </w:r>
      <w:bookmarkStart w:id="10" w:name="_d3060b68_4592_46c7_bbd5_0a4989fcbace"/>
      <w:bookmarkStart w:id="11" w:name="_c414f991_873c_4bfb_90cf_e14915a1bc6a"/>
      <w:bookmarkStart w:id="12" w:name="_7d81e5d4_5822_4d7d_9a57_0da5b4e32eb4"/>
      <w:bookmarkStart w:id="13" w:name="_583f7b1a_70a0_4bda_9766_660bcbea12d2"/>
      <w:bookmarkStart w:id="14" w:name="_0db3ce0b_a7ba_4674_82c4_b024bbc7a674"/>
      <w:bookmarkStart w:id="15" w:name="_d3060b68_4592_46c7_bbd5_0a4989fcbace"/>
      <w:bookmarkStart w:id="16" w:name="_c414f991_873c_4bfb_90cf_e14915a1bc6a"/>
      <w:bookmarkStart w:id="17" w:name="_7d81e5d4_5822_4d7d_9a57_0da5b4e32eb4"/>
      <w:bookmarkStart w:id="18" w:name="_583f7b1a_70a0_4bda_9766_660bcbea12d2"/>
      <w:bookmarkStart w:id="19" w:name="_0db3ce0b_a7ba_4674_82c4_b024bbc7a674"/>
      <w:bookmarkEnd w:id="15"/>
      <w:bookmarkEnd w:id="16"/>
      <w:bookmarkEnd w:id="17"/>
      <w:bookmarkEnd w:id="18"/>
      <w:bookmarkEnd w:id="19"/>
    </w:p>
    <w:tbl>
      <w:tblPr>
        <w:tblW w:w="4340" w:type="dxa"/>
        <w:jc w:val="left"/>
        <w:tblInd w:w="0" w:type="dxa"/>
        <w:tblLayout w:type="fixed"/>
        <w:tblCellMar>
          <w:top w:w="0" w:type="dxa"/>
          <w:left w:w="0" w:type="dxa"/>
          <w:bottom w:w="0" w:type="dxa"/>
          <w:right w:w="0" w:type="dxa"/>
        </w:tblCellMar>
      </w:tblPr>
      <w:tblGrid>
        <w:gridCol w:w="124"/>
        <w:gridCol w:w="4216"/>
      </w:tblGrid>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 INFORMATION</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Who are “Named Proxies” and how will they vote my shares?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Board of Directors selected the persons named on the Notice and proxy card (the “Named Proxies”) to act as proxies for the Annual Meeting. If you specify a voting choice, the shares will be voted in accordance with that choice. If you vote your shares, but do not indicate your voting preferences, the Named Proxies will vote on your behalf for the election of the nominees for director listed below, for the ratification of the selection of the independent auditors, and for the approval (on a non-binding advisory basis) of the compensation paid to our named executive officers, as disclosed in this Proxy Statement.</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How will the advisory vote related to executive compensation be treated?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Although the advisory vote to approve the compensation paid to our named executive officers is non-binding, our Board of Directors will review the results of this vote and, consistent with our strong record of shareowner engagement, will take the result of the vote into account in making future determinations concerning executive compensation.</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What does it mean if I receive more than one Notice, proxy card or voting instruction?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It means that you hold shares in more than one account. To ensure that all your shares are voted, please vote as instructed in each Notice or sign and return each proxy card (if you have requested and received paper copies of this Proxy Statement and a proxy card). If you vote by telephone or on the Internet, you will need to vote once for each Notice, proxy card or voting instruction card you receive.</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Who tabulates the votes?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votes are tabulated by Broadridge Financial Solutions, Inc., and Carideo Group acts as the independent inspector of elections.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What should I do if I want to attend the Annual Meeting?</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You are entitled to attend the Annual Meeting if you were a shareowner of record as of the Record Date for the Annual Meeting, or you hold a valid proxy for the Annual Meeting. You will need the 16-digit Control Number located on your Notice, on your proxy card or on the instructions that accompanied your proxy materials. You can attend the Annual Meeting, vote and submit questions during the Annual Meeting by visiting www.virtualshareholdermeeting.com/KMT2026 and using your 16-digit Control Number to enter the meeting. Shareowners may also submit written questions in advance of the Annual Meeting by visiting www.virtualshareholdermeeting.com/KMT2026 and using your 16-digit Control Number to access the Annual Meeting website. A transcript of the Annual Meeting including the questions received and our answers will be posted on the Investor Relations page of our website at www.kennametal.com as soon as practical after the Annual Meeting.</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We encourage you to access the Annual Meeting website prior to the start time. Please allow sufficient time for online check-in. If you experience technical difficulties, please contact the technical support phone number posted on the log-in page of the Annual Meeting website. Rules of Conduct for the Annual Meeting are established, affording the same treatment to all participating shareowners, and will be followed during the Annual Meeting. We will use technology for the virtual Annual Meeting that verifies the identity of each participating shareowner and ensures that shareowners are granted the same access rights they would have if attending an in-person meeting.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Even if you plan to attend the Annual Meeting, we recommend that you vote your shares in advance, so that your vote will be counted if you later decide not to attend the Annual Meeting.</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Can I view the Proxy Statement and 2026 Annual Report electronically?</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Yes. Copies of this Proxy Statement and our 2026 Annual Report to Shareowners (the “2026 Annual Report”) are available free of charge for electronic (online) access and viewing at </w:t>
      </w:r>
      <w:r>
        <w:rPr>
          <w:rFonts w:ascii="Arial;Helvetica;sans-serif" w:hAnsi="Arial;Helvetica;sans-serif"/>
          <w:b/>
          <w:sz w:val="20"/>
        </w:rPr>
        <w:t>www.proxyvote.com.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You may also view the Proxy Statement and 2026 Annual Report free of charge on our website at www.kennametal.com in the “Investor Relations” section under “SEC Filings”.</w:t>
      </w:r>
    </w:p>
    <w:tbl>
      <w:tblPr>
        <w:tblW w:w="4409" w:type="dxa"/>
        <w:jc w:val="left"/>
        <w:tblInd w:w="0" w:type="dxa"/>
        <w:tblLayout w:type="fixed"/>
        <w:tblCellMar>
          <w:top w:w="0" w:type="dxa"/>
          <w:left w:w="0" w:type="dxa"/>
          <w:bottom w:w="0" w:type="dxa"/>
          <w:right w:w="0" w:type="dxa"/>
        </w:tblCellMar>
      </w:tblPr>
      <w:tblGrid>
        <w:gridCol w:w="4186"/>
        <w:gridCol w:w="223"/>
      </w:tblGrid>
      <w:tr>
        <w:trPr/>
        <w:tc>
          <w:tcPr>
            <w:tcW w:w="41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GENERAL INFORMATION</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What is “householding”?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adopted “householding,” a procedure under which shareowners of record who have the same address and last name and do not receive proxy materials electronically will receive only one copy of our Annual Report and Proxy Statement unless one or more of these shareowners notifies us that they wish to continue receiving individual copies, per the instructions below. This procedure saves printing and postage costs by reducing duplicative mailings. Shareowners who participate in householding will continue to receive separate proxy cards. Householding will not affect dividend check mailings. Beneficial shareowners can request information about householding from their banks, brokers or other holders of record.</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What if I want to receive a copy of the Annual Report and Proxy Statement?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You may access the Proxy Statement or Annual Report via our website, www.kennametal.com, under “Investor Relations.” If you prefer, you may request these materials by calling our Vice President, Secretary and General Counsel at 412-248-8309 or writing to Kennametal Inc., Attention: Vice President, Secretary and General Counsel, 525 William Penn Place, Suite 3300, Pittsburgh, Pennsylvania 15219:</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participate in householding and wish to receive a separate copy of the 2026 Annual Report, Proxy Statement, or Notice of Internet Availability of Proxy Materials, or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do not participate in householding, but would like a print copy of either the 2026 Annual Report or Proxy Statement, or would like to participate in householding with regard to the Annual Report, Proxy Statement, or Notice of Internet Availability of Proxy Materials, or</w:t>
            </w:r>
          </w:p>
        </w:tc>
      </w:tr>
    </w:tbl>
    <w:tbl>
      <w:tblPr>
        <w:tblW w:w="7802" w:type="dxa"/>
        <w:jc w:val="left"/>
        <w:tblInd w:w="0" w:type="dxa"/>
        <w:tblLayout w:type="fixed"/>
        <w:tblCellMar>
          <w:top w:w="0" w:type="dxa"/>
          <w:left w:w="0" w:type="dxa"/>
          <w:bottom w:w="0" w:type="dxa"/>
          <w:right w:w="0" w:type="dxa"/>
        </w:tblCellMar>
      </w:tblPr>
      <w:tblGrid>
        <w:gridCol w:w="271"/>
        <w:gridCol w:w="7531"/>
      </w:tblGrid>
      <w:tr>
        <w:trPr/>
        <w:tc>
          <w:tcPr>
            <w:tcW w:w="271" w:type="dxa"/>
            <w:tcBorders/>
            <w:vAlign w:val="center"/>
          </w:tcPr>
          <w:p>
            <w:pPr>
              <w:pStyle w:val="TableContents"/>
              <w:bidi w:val="0"/>
              <w:spacing w:before="0" w:after="283"/>
              <w:jc w:val="left"/>
              <w:rPr/>
            </w:pPr>
            <w:r>
              <w:rPr/>
              <w:t>●</w:t>
            </w:r>
          </w:p>
        </w:tc>
        <w:tc>
          <w:tcPr>
            <w:tcW w:w="75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wish to receive separate copies of future annual reports and proxy statements.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will deliver the requested documents to you promptly upon your request at no charge.</w:t>
      </w:r>
    </w:p>
    <w:p>
      <w:pPr>
        <w:pStyle w:val="TextBody"/>
        <w:bidi w:val="0"/>
        <w:spacing w:before="240" w:after="120"/>
        <w:ind w:left="0" w:right="0" w:hanging="0"/>
        <w:jc w:val="both"/>
        <w:rPr>
          <w:rFonts w:ascii="Arial;Helvetica;sans-serif" w:hAnsi="Arial;Helvetica;sans-serif"/>
          <w:b/>
          <w:sz w:val="24"/>
        </w:rPr>
      </w:pPr>
      <w:r>
        <w:rPr>
          <w:rFonts w:ascii="Arial;Helvetica;sans-serif" w:hAnsi="Arial;Helvetica;sans-serif"/>
          <w:b/>
          <w:sz w:val="24"/>
        </w:rPr>
        <w:t>How can I contact the Company, the Board of Directors, the independent Chairman of the Board or any of the independent Directors?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address of our principal executive offices is 525 William Penn Place, Suite 3300, Pittsburgh, Pennsylvania 15219.</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You can send written communications to any of our Board members, addressed to:</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Kennametal Inc.</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 Michelle R. Keating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Vice President, Secretary and General Counsel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525 William Penn Place, Suite 3300</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Pittsburgh, Pennsylvania 15219</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will forward any communication we receive to the relevant director(s), except for advertisements, solicitations or other matters unrelated to the Company.</w:t>
      </w:r>
    </w:p>
    <w:p>
      <w:pPr>
        <w:pStyle w:val="TextBody"/>
        <w:bidi w:val="0"/>
        <w:spacing w:before="240" w:after="120"/>
        <w:ind w:left="0" w:right="0" w:hanging="0"/>
        <w:jc w:val="both"/>
        <w:rPr>
          <w:rFonts w:ascii="Arial;Helvetica;sans-serif" w:hAnsi="Arial;Helvetica;sans-serif"/>
          <w:b/>
          <w:sz w:val="24"/>
        </w:rPr>
      </w:pPr>
      <w:r>
        <w:rPr>
          <w:rFonts w:ascii="Arial;Helvetica;sans-serif" w:hAnsi="Arial;Helvetica;sans-serif"/>
          <w:b/>
          <w:sz w:val="24"/>
        </w:rPr>
        <w:t>What are the procedures for submitting a shareowner proposal or nomination for the 2027 Annual Meeting?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expect to hold our 2027 Annual Meeting in October 2027. If a shareowner wishes to have a proposal considered for inclusion in next year’s proxy statement, such shareowner must submit the proposal in writing so that we receive it by May 18, 2027. Proposals should be addressed to Kennametal Inc., Attention: Vice President, Secretary and General Counsel, 525 William Penn Place, Suite 3300, Pittsburgh, Pennsylvania 15219. Proposals must comply with Rule 14a-8 of Regulation 14A of the proxy rules and must contain certain information specified in the Company’s By-Laws.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In addition, our By-Laws provide that any shareowner wishing to propose any other business at the 2027 Annual Meeting must give the Company written notice no earlier than May 1, 2027 and no later than June 30, 2027. That notice must provide certain other information as described in the By-Laws.</w:t>
      </w:r>
    </w:p>
    <w:tbl>
      <w:tblPr>
        <w:tblW w:w="4340" w:type="dxa"/>
        <w:jc w:val="left"/>
        <w:tblInd w:w="0" w:type="dxa"/>
        <w:tblLayout w:type="fixed"/>
        <w:tblCellMar>
          <w:top w:w="0" w:type="dxa"/>
          <w:left w:w="0" w:type="dxa"/>
          <w:bottom w:w="0" w:type="dxa"/>
          <w:right w:w="0" w:type="dxa"/>
        </w:tblCellMar>
      </w:tblPr>
      <w:tblGrid>
        <w:gridCol w:w="124"/>
        <w:gridCol w:w="4216"/>
      </w:tblGrid>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26"/>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 INFORMATION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Specifically, shareowner nominations for directors to be elected at the 2027 Annual Meeting must be submitted to the Vice President, Secretary and General Counsel in writing no earlier than May 1, 2027, and no later than June 30, 2027. The By-Laws contain certain requirements for the information that must be provided in any shareowner nomination, including information about the nominee and the nominating shareowner. Please see “</w:t>
      </w:r>
      <w:r>
        <w:rPr>
          <w:rFonts w:ascii="Arial;Helvetica;sans-serif" w:hAnsi="Arial;Helvetica;sans-serif"/>
          <w:i/>
          <w:sz w:val="20"/>
        </w:rPr>
        <w:t>Committee Functions — Nominating/Corporate Governance Committee</w:t>
      </w:r>
      <w:r>
        <w:rPr>
          <w:rFonts w:ascii="Arial;Helvetica;sans-serif" w:hAnsi="Arial;Helvetica;sans-serif"/>
          <w:sz w:val="20"/>
        </w:rPr>
        <w:t>” under the “</w:t>
      </w:r>
      <w:r>
        <w:rPr>
          <w:rFonts w:ascii="Arial;Helvetica;sans-serif" w:hAnsi="Arial;Helvetica;sans-serif"/>
          <w:i/>
          <w:sz w:val="20"/>
        </w:rPr>
        <w:t>Board of Directors and Board Committees</w:t>
      </w:r>
      <w:r>
        <w:rPr>
          <w:rFonts w:ascii="Arial;Helvetica;sans-serif" w:hAnsi="Arial;Helvetica;sans-serif"/>
          <w:sz w:val="20"/>
        </w:rPr>
        <w:t>” section of this Proxy Statement for additional information regarding shareowner nominations to be considered by the Nominating/Corporate Governance Committee.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In addition to satisfying advance notice requirements under the By-Laws, to comply with the universal proxy rules under the Securities Exchange Act of 1934, shareowners who intend to solicit proxies in support of director nominees other than those nominees nominated by the Company must provide notice that sets forth the information required by Rule 14a-19 under the Securities Exchange Act of 1934 no later than August 30, 2027, which is the first business day following 60 days prior to the anniversary date of the prior year’s annual meeting. No such notices were received by August 31, 2026 with respect to the 2026  Annual Meeting. Therefore, only the nominees named below will be eligible for election at the meeting.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Any shareowner may obtain a copy of the By-Laws or any of our corporate governance materials by submitting a written request to Kennametal Inc., Attention: Vice President, Secretary and General Counsel, 525 William Penn Place, Suite 3300, Pittsburgh, Pennsylvania 15219.</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Who pays for the solicitation of proxies?</w:t>
      </w:r>
    </w:p>
    <w:p>
      <w:pPr>
        <w:pStyle w:val="TextBody"/>
        <w:bidi w:val="0"/>
        <w:spacing w:lineRule="auto" w:line="240" w:before="0" w:after="240"/>
        <w:ind w:left="0" w:right="0" w:hanging="0"/>
        <w:jc w:val="both"/>
        <w:rPr>
          <w:rFonts w:ascii="Arial;Helvetica;sans-serif" w:hAnsi="Arial;Helvetica;sans-serif"/>
          <w:sz w:val="20"/>
        </w:rPr>
      </w:pPr>
      <w:r>
        <w:rPr>
          <w:rFonts w:ascii="Arial;Helvetica;sans-serif" w:hAnsi="Arial;Helvetica;sans-serif"/>
          <w:sz w:val="20"/>
        </w:rPr>
        <w:t>Kennametal pays all costs related to the Company’s solicitation of proxies. We may solicit proxies by mail, or our directors, officers or employees may solicit proxies personally, by telephone, facsimile or the Internet. We have retained the services of Morrow Sodali LLC, 333 Ludlow Street, 5</w:t>
      </w:r>
      <w:r>
        <w:rPr>
          <w:rFonts w:ascii="Arial;Helvetica;sans-serif" w:hAnsi="Arial;Helvetica;sans-serif"/>
          <w:sz w:val="15"/>
        </w:rPr>
        <w:t>th</w:t>
      </w:r>
      <w:r>
        <w:rPr>
          <w:rFonts w:ascii="Arial;Helvetica;sans-serif" w:hAnsi="Arial;Helvetica;sans-serif"/>
          <w:sz w:val="20"/>
        </w:rPr>
        <w:t> Floor South Tower, Stamford, CT 06902, to assist in soliciting proxies from brokerage houses, custodians, nominees, other fiduciaries and other shareowners of the Company. We will pay all fees and expenses of Morrow Sodali LLC in connection with the solicitation, and we do not expect those fees and expenses to exceed $11,000. We will reimburse brokerage firms and other custodians, nominees and fiduciaries for their reasonable out-of-pocket expenses for sending proxy materials to shareowners and obtaining their votes.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What is the Company’s Fiscal Year?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Kennametal’s fiscal year begins each year on July 1 and ends on the following June 30. Any reference to a “year” in this Proxy Statement is to a fiscal year, except whereas otherwise noted. For example, references to “2026,” “Fiscal Year 2026,” or “Fiscal 2026” mean the fiscal year beginning July 1, 2025, and ending June 30,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09" w:type="dxa"/>
        <w:jc w:val="left"/>
        <w:tblInd w:w="0" w:type="dxa"/>
        <w:tblLayout w:type="fixed"/>
        <w:tblCellMar>
          <w:top w:w="0" w:type="dxa"/>
          <w:left w:w="0" w:type="dxa"/>
          <w:bottom w:w="0" w:type="dxa"/>
          <w:right w:w="0" w:type="dxa"/>
        </w:tblCellMar>
      </w:tblPr>
      <w:tblGrid>
        <w:gridCol w:w="4186"/>
        <w:gridCol w:w="223"/>
      </w:tblGrid>
      <w:tr>
        <w:trPr/>
        <w:tc>
          <w:tcPr>
            <w:tcW w:w="41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27"/>
                    <a:stretch>
                      <a:fillRect/>
                    </a:stretch>
                  </pic:blipFill>
                  <pic:spPr bwMode="auto">
                    <a:xfrm>
                      <a:off x="0" y="0"/>
                      <a:ext cx="6876415" cy="474980"/>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20" w:name="ProposalIElectionofDirectors_259666"/>
      <w:bookmarkStart w:id="21" w:name="_46aa24b7_2581_445f_9ddd_63e4aad74465"/>
      <w:bookmarkEnd w:id="20"/>
      <w:bookmarkEnd w:id="21"/>
      <w:r>
        <w:rPr>
          <w:rFonts w:ascii="Arial;Helvetica;sans-serif" w:hAnsi="Arial;Helvetica;sans-serif"/>
          <w:b/>
          <w:sz w:val="32"/>
        </w:rPr>
        <w:t>Proposal I. Election of Directors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Kennametal seeks directors with strong reputations and experience in areas relevant to the strategy and operations of our businesses, particularly industries and growth segments that we serve, as well as key geographic markets where we operate.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Each person elected as a director of the Corporation, whether elected to succeed a person whose term of office as a director has expired (including the expiration of such director’s term) or to fill any vacancy, shall be elected for a one-year term expiring at the next annual meeting of shareowners.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Board of Directors has nominated nine of our current directors, Joseph Alvarado, Shelley Bausch, Sanjay Chowbey, Douglas T. Dietrich, Richard J. Harshman, Dawne Hickton, Lorraine M. Martin, Sagar A. Patel, and Paul Sternlieb, for re-election to serve as directors with terms that will expire in 2027.</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Each of the nominees for election as a director at the Annual Meeting and each of the Company’s current directors hold or have held senior executive positions in large, complex organizations and have operating experience that meets our objectives, as described below. In these positions, they have also gained experience in core management skills, such as strategic and financial planning, public company financial reporting, corporate governance, risk management and leadership development. Included in each Director nominee’s biography below is an assessment of the specific qualifications, attributes, skills and experience of such nominee based on the qualifications described above.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no reason to believe that any of the nominees will be unable or unwilling to serve if elected. However, if any nominee should become unable for any reason or unwilling for good cause to serve, proxies may be voted for another person nominated as a substitute by the Board.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Board believes that the combination of the various qualifications, skills and experiences of the Director nominees will contribute to an effective and well-functioning Board and that, individually and as a whole, the Director nominees possess the necessary qualifications to provide effective oversight of the business and quality advice and counsel to the Company’s management.</w:t>
      </w:r>
    </w:p>
    <w:p>
      <w:pPr>
        <w:pStyle w:val="TextBody"/>
        <w:bidi w:val="0"/>
        <w:spacing w:before="0" w:after="0"/>
        <w:ind w:left="0" w:right="0" w:hanging="0"/>
        <w:jc w:val="left"/>
        <w:rPr/>
      </w:pPr>
      <w:r>
        <w:rPr/>
        <w:t>​</w:t>
      </w:r>
    </w:p>
    <w:tbl>
      <w:tblPr>
        <w:tblW w:w="4340" w:type="dxa"/>
        <w:jc w:val="left"/>
        <w:tblInd w:w="0" w:type="dxa"/>
        <w:tblLayout w:type="fixed"/>
        <w:tblCellMar>
          <w:top w:w="0" w:type="dxa"/>
          <w:left w:w="0" w:type="dxa"/>
          <w:bottom w:w="0" w:type="dxa"/>
          <w:right w:w="0" w:type="dxa"/>
        </w:tblCellMar>
      </w:tblPr>
      <w:tblGrid>
        <w:gridCol w:w="124"/>
        <w:gridCol w:w="4216"/>
      </w:tblGrid>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6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7" descr=""/>
                    <pic:cNvPicPr>
                      <a:picLocks noChangeAspect="1" noChangeArrowheads="1"/>
                    </pic:cNvPicPr>
                  </pic:nvPicPr>
                  <pic:blipFill>
                    <a:blip r:embed="rId28"/>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PROPOSAL I. Election of Directors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highlights each director’s specific skills, knowledge and experience. A particular director may possess additional skills, knowledge or experience even though they are not indicated below.</w:t>
      </w:r>
    </w:p>
    <w:p>
      <w:pPr>
        <w:pStyle w:val="TextBody"/>
        <w:bidi w:val="0"/>
        <w:spacing w:before="240" w:after="0"/>
        <w:ind w:left="0" w:right="0" w:hanging="0"/>
        <w:jc w:val="left"/>
        <w:rPr>
          <w:rFonts w:ascii="Arial;Helvetica;sans-serif" w:hAnsi="Arial;Helvetica;sans-serif"/>
          <w:b/>
          <w:sz w:val="24"/>
        </w:rPr>
      </w:pPr>
      <w:r>
        <w:rPr>
          <w:rFonts w:ascii="Arial;Helvetica;sans-serif" w:hAnsi="Arial;Helvetica;sans-serif"/>
          <w:b/>
          <w:sz w:val="24"/>
        </w:rPr>
        <w:t>Director Skills and Experience Matrix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67"/>
        <w:gridCol w:w="931"/>
        <w:gridCol w:w="796"/>
        <w:gridCol w:w="961"/>
        <w:gridCol w:w="826"/>
        <w:gridCol w:w="1051"/>
        <w:gridCol w:w="811"/>
        <w:gridCol w:w="691"/>
        <w:gridCol w:w="571"/>
        <w:gridCol w:w="946"/>
        <w:gridCol w:w="154"/>
      </w:tblGrid>
      <w:tr>
        <w:trPr/>
        <w:tc>
          <w:tcPr>
            <w:tcW w:w="2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66545" cy="3055620"/>
                      <wp:effectExtent l="0" t="0" r="0" b="0"/>
                      <wp:wrapNone/>
                      <wp:docPr id="63" name="Frame36"/>
                      <a:graphic xmlns:a="http://schemas.openxmlformats.org/drawingml/2006/main">
                        <a:graphicData uri="http://schemas.microsoft.com/office/word/2010/wordprocessingShape">
                          <wps:wsp>
                            <wps:cNvSpPr txBox="1"/>
                            <wps:spPr>
                              <a:xfrm>
                                <a:off x="0" y="0"/>
                                <a:ext cx="1566545" cy="30556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35pt;height:240.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91185" cy="175260"/>
                      <wp:effectExtent l="0" t="0" r="0" b="0"/>
                      <wp:wrapNone/>
                      <wp:docPr id="64" name="Frame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10235" cy="29210"/>
                      <wp:effectExtent l="0" t="0" r="0" b="0"/>
                      <wp:wrapNone/>
                      <wp:docPr id="65" name="Frame38"/>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24510" cy="175260"/>
                      <wp:effectExtent l="0" t="0" r="0" b="0"/>
                      <wp:wrapNone/>
                      <wp:docPr id="66" name="Frame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67"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62585" cy="175260"/>
                      <wp:effectExtent l="0" t="0" r="0" b="0"/>
                      <wp:wrapNone/>
                      <wp:docPr id="68" name="Frame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00710" cy="175260"/>
                      <wp:effectExtent l="0" t="0" r="0" b="0"/>
                      <wp:wrapNone/>
                      <wp:docPr id="69" name="Frame4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7790" cy="175260"/>
                      <wp:effectExtent l="0" t="0" r="0" b="0"/>
                      <wp:wrapNone/>
                      <wp:docPr id="70" name="Frame4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7"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Alvarado</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Bausch</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Chowbey</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Dietrich</w:t>
            </w:r>
          </w:p>
        </w:tc>
        <w:tc>
          <w:tcPr>
            <w:tcW w:w="105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Harshman</w:t>
            </w:r>
          </w:p>
        </w:tc>
        <w:tc>
          <w:tcPr>
            <w:tcW w:w="8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Hickton</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Martin</w:t>
            </w:r>
          </w:p>
        </w:tc>
        <w:tc>
          <w:tcPr>
            <w:tcW w:w="5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Patel</w:t>
            </w:r>
          </w:p>
        </w:tc>
        <w:tc>
          <w:tcPr>
            <w:tcW w:w="9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Sternlieb</w:t>
            </w:r>
          </w:p>
        </w:tc>
        <w:tc>
          <w:tcPr>
            <w:tcW w:w="154"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2467"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Regulatory MATTERS</w:t>
            </w:r>
          </w:p>
        </w:tc>
        <w:tc>
          <w:tcPr>
            <w:tcW w:w="93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c>
          <w:tcPr>
            <w:tcW w:w="796"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left"/>
              <w:rPr/>
            </w:pPr>
            <w:r>
              <w:rPr/>
              <w:t>​</w:t>
            </w:r>
          </w:p>
        </w:tc>
        <w:tc>
          <w:tcPr>
            <w:tcW w:w="96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left"/>
              <w:rPr/>
            </w:pPr>
            <w:r>
              <w:rPr/>
              <w:t>​</w:t>
            </w:r>
          </w:p>
        </w:tc>
        <w:tc>
          <w:tcPr>
            <w:tcW w:w="826"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c>
          <w:tcPr>
            <w:tcW w:w="105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c>
          <w:tcPr>
            <w:tcW w:w="81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c>
          <w:tcPr>
            <w:tcW w:w="69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c>
          <w:tcPr>
            <w:tcW w:w="57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c>
          <w:tcPr>
            <w:tcW w:w="946"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c>
          <w:tcPr>
            <w:tcW w:w="154"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pPr>
            <w:r>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Financial Expert</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Independent Director</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SKILLS / EXPERIENCE</w:t>
            </w:r>
          </w:p>
        </w:tc>
        <w:tc>
          <w:tcPr>
            <w:tcW w:w="93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shd w:fill="E5E5E5" w:val="clear"/>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CEO Experience</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Finance (public company)</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Governance / Corporate Responsibility</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or Recent Executive Experience</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Diversity</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Environmental / Health / Safety</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Government / Military</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Industry / Manufacturing Knowledge</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Legal – Transactions</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Operations Production</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Public Company Board Experience</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 Management</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Strategic Planning</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Technology / Engineering</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Cybersecurity / Digital Technology</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r>
        <w:trPr/>
        <w:tc>
          <w:tcPr>
            <w:tcW w:w="246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Climate Change</w:t>
            </w:r>
          </w:p>
        </w:tc>
        <w:tc>
          <w:tcPr>
            <w:tcW w:w="93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79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color w:val="FFD966"/>
              </w:rPr>
            </w:pPr>
            <w:r>
              <w:rPr>
                <w:color w:val="FFD966"/>
              </w:rPr>
              <w:t>✘</w:t>
            </w:r>
          </w:p>
        </w:tc>
        <w:tc>
          <w:tcPr>
            <w:tcW w:w="96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05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8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69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5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9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c>
          <w:tcPr>
            <w:tcW w:w="154"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color w:val="FFD966"/>
              </w:rPr>
            </w:pPr>
            <w:r>
              <w:rPr>
                <w:color w:val="FFD966"/>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9"/>
        <w:gridCol w:w="226"/>
        <w:gridCol w:w="9460"/>
      </w:tblGrid>
      <w:tr>
        <w:trPr/>
        <w:tc>
          <w:tcPr>
            <w:tcW w:w="51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460" w:type="dxa"/>
            <w:tcBorders/>
            <w:vAlign w:val="center"/>
          </w:tcPr>
          <w:p>
            <w:pPr>
              <w:pStyle w:val="TableContents"/>
              <w:bidi w:val="0"/>
              <w:spacing w:before="0" w:after="0"/>
              <w:ind w:left="0" w:right="0" w:hanging="0"/>
              <w:jc w:val="left"/>
              <w:rPr/>
            </w:pPr>
            <w:r>
              <w:rPr/>
              <w:t>​</w:t>
            </w:r>
          </w:p>
        </w:tc>
      </w:tr>
      <w:tr>
        <w:trPr/>
        <w:tc>
          <w:tcPr>
            <w:tcW w:w="519" w:type="dxa"/>
            <w:tcBorders/>
            <w:vAlign w:val="center"/>
          </w:tcPr>
          <w:p>
            <w:pPr>
              <w:pStyle w:val="TableContents"/>
              <w:bidi w:val="0"/>
              <w:spacing w:before="0" w:after="0"/>
              <w:ind w:left="0" w:right="0" w:hanging="0"/>
              <w:jc w:val="left"/>
              <w:rPr/>
            </w:pPr>
            <w:r>
              <w:rPr/>
              <w:drawing>
                <wp:inline distT="0" distB="0" distL="0" distR="0">
                  <wp:extent cx="265430" cy="265430"/>
                  <wp:effectExtent l="0" t="0" r="0" b="0"/>
                  <wp:docPr id="7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8" descr=""/>
                          <pic:cNvPicPr>
                            <a:picLocks noChangeAspect="1" noChangeArrowheads="1"/>
                          </pic:cNvPicPr>
                        </pic:nvPicPr>
                        <pic:blipFill>
                          <a:blip r:embed="rId29"/>
                          <a:stretch>
                            <a:fillRect/>
                          </a:stretch>
                        </pic:blipFill>
                        <pic:spPr bwMode="auto">
                          <a:xfrm>
                            <a:off x="0" y="0"/>
                            <a:ext cx="265430" cy="265430"/>
                          </a:xfrm>
                          <a:prstGeom prst="rect">
                            <a:avLst/>
                          </a:prstGeom>
                        </pic:spPr>
                      </pic:pic>
                    </a:graphicData>
                  </a:graphic>
                </wp:inline>
              </w:drawing>
            </w:r>
          </w:p>
        </w:tc>
        <w:tc>
          <w:tcPr>
            <w:tcW w:w="226" w:type="dxa"/>
            <w:tcBorders/>
            <w:vAlign w:val="center"/>
          </w:tcPr>
          <w:p>
            <w:pPr>
              <w:pStyle w:val="TableContents"/>
              <w:bidi w:val="0"/>
              <w:spacing w:before="0" w:after="0"/>
              <w:ind w:left="0" w:right="0" w:hanging="0"/>
              <w:jc w:val="left"/>
              <w:rPr/>
            </w:pPr>
            <w:r>
              <w:rPr/>
              <w:t>  ​</w:t>
            </w:r>
          </w:p>
        </w:tc>
        <w:tc>
          <w:tcPr>
            <w:tcW w:w="946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8"/>
              </w:rPr>
              <w:t xml:space="preserve">THE BOARD OF DIRECTORS UNANIMOUSLY RECOMMENDS A VOTE </w:t>
            </w:r>
            <w:r>
              <w:rPr>
                <w:rFonts w:ascii="Arial;Helvetica;sans-serif" w:hAnsi="Arial;Helvetica;sans-serif"/>
                <w:b/>
                <w:sz w:val="28"/>
              </w:rPr>
              <w:t>FOR</w:t>
            </w:r>
            <w:r>
              <w:rPr>
                <w:rFonts w:ascii="Arial;Helvetica;sans-serif" w:hAnsi="Arial;Helvetica;sans-serif"/>
                <w:sz w:val="20"/>
              </w:rPr>
              <w:t xml:space="preserve"> </w:t>
            </w:r>
            <w:r>
              <w:rPr>
                <w:rFonts w:ascii="Arial;Helvetica;sans-serif" w:hAnsi="Arial;Helvetica;sans-serif"/>
                <w:sz w:val="28"/>
              </w:rPr>
              <w:t>THE ELECTION OF EACH OF THE NOMINEES.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4409" w:type="dxa"/>
        <w:jc w:val="left"/>
        <w:tblInd w:w="0" w:type="dxa"/>
        <w:tblLayout w:type="fixed"/>
        <w:tblCellMar>
          <w:top w:w="0" w:type="dxa"/>
          <w:left w:w="0" w:type="dxa"/>
          <w:bottom w:w="0" w:type="dxa"/>
          <w:right w:w="0" w:type="dxa"/>
        </w:tblCellMar>
      </w:tblPr>
      <w:tblGrid>
        <w:gridCol w:w="4186"/>
        <w:gridCol w:w="223"/>
      </w:tblGrid>
      <w:tr>
        <w:trPr/>
        <w:tc>
          <w:tcPr>
            <w:tcW w:w="41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7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9" descr=""/>
                    <pic:cNvPicPr>
                      <a:picLocks noChangeAspect="1" noChangeArrowheads="1"/>
                    </pic:cNvPicPr>
                  </pic:nvPicPr>
                  <pic:blipFill>
                    <a:blip r:embed="rId30"/>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PROPOSAL I. Election of Directors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have provided additional information about each nominee and each director whose term of office will continue after the Annual Meeting below, if elected, including the specific characteristics and traits that we believe qualify these individuals to serve as directors of our Company.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76"/>
        <w:gridCol w:w="109"/>
        <w:gridCol w:w="5192"/>
        <w:gridCol w:w="2828"/>
      </w:tblGrid>
      <w:tr>
        <w:trPr/>
        <w:tc>
          <w:tcPr>
            <w:tcW w:w="2076"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Joseph Alvarado</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713105" cy="891540"/>
                  <wp:effectExtent l="0" t="0" r="0" b="0"/>
                  <wp:docPr id="7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0" descr=""/>
                          <pic:cNvPicPr>
                            <a:picLocks noChangeAspect="1" noChangeArrowheads="1"/>
                          </pic:cNvPicPr>
                        </pic:nvPicPr>
                        <pic:blipFill>
                          <a:blip r:embed="rId31"/>
                          <a:stretch>
                            <a:fillRect/>
                          </a:stretch>
                        </pic:blipFill>
                        <pic:spPr bwMode="auto">
                          <a:xfrm>
                            <a:off x="0" y="0"/>
                            <a:ext cx="713105" cy="891540"/>
                          </a:xfrm>
                          <a:prstGeom prst="rect">
                            <a:avLst/>
                          </a:prstGeom>
                        </pic:spPr>
                      </pic:pic>
                    </a:graphicData>
                  </a:graphic>
                </wp:inline>
              </w:drawing>
            </w:r>
          </w:p>
          <w:p>
            <w:pPr>
              <w:pStyle w:val="TableContents"/>
              <w:bidi w:val="0"/>
              <w:spacing w:before="4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74</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2018</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Compensation and Human</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Capital</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Nominating / Corporate</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Governance (Chair)</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Arcosa, Inc.</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PNC Financial Services Group, Inc.</w:t>
            </w:r>
          </w:p>
          <w:p>
            <w:pPr>
              <w:pStyle w:val="TableContents"/>
              <w:bidi w:val="0"/>
              <w:spacing w:before="0" w:after="24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Trinseo, S.A.</w:t>
            </w:r>
          </w:p>
        </w:tc>
        <w:tc>
          <w:tcPr>
            <w:tcW w:w="109" w:type="dxa"/>
            <w:tcBorders>
              <w:top w:val="single" w:sz="2" w:space="0" w:color="FFCD00"/>
            </w:tcBorders>
            <w:tcMar>
              <w:top w:w="28" w:type="dxa"/>
            </w:tcMar>
            <w:vAlign w:val="center"/>
          </w:tcPr>
          <w:p>
            <w:pPr>
              <w:pStyle w:val="TableContents"/>
              <w:bidi w:val="0"/>
              <w:spacing w:before="0" w:after="0"/>
              <w:ind w:left="0" w:right="0" w:hanging="0"/>
              <w:jc w:val="left"/>
              <w:rPr/>
            </w:pPr>
            <w:r>
              <w:rPr/>
              <w:t>​</w:t>
            </w:r>
          </w:p>
        </w:tc>
        <w:tc>
          <w:tcPr>
            <w:tcW w:w="5192"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0" w:hanging="0"/>
              <w:jc w:val="both"/>
              <w:rPr>
                <w:rFonts w:ascii="Arial;Helvetica;sans-serif" w:hAnsi="Arial;Helvetica;sans-serif"/>
                <w:sz w:val="18"/>
              </w:rPr>
            </w:pPr>
            <w:r>
              <w:rPr>
                <w:rFonts w:ascii="Arial;Helvetica;sans-serif" w:hAnsi="Arial;Helvetica;sans-serif"/>
                <w:sz w:val="18"/>
              </w:rPr>
              <w:t>Mr. Alvarado is a Director, retired Chairman, President and CEO of Commercial Metals Company (“CMC”), a global manufacturer, recycler and marketer of steel and other metals. He joined CMC in April 2010 as Executive Vice President and Chief Operating Officer (“COO”) and became President and COO in April 2011. He was named President and CEO and elected to CMC’s Board in September 2011; he served as Chairman of the Board from January 2013 until his retirement in January 2018. Before joining CMC, Mr. Alvarado was Operating Partner for Wingate Partners and The Edgewater Funds and, prior to that, he was the President of U.S. Steel Tubular Products, Inc., a division of United States Steel Corporation. Throughout his career, Mr. Alvarado served in various leadership and executive positions including President and COO of Lone Star Technologies, Inc., Vice President-Long Products Sales and Marketing for Ispat North America, Inc., Executive Vice President, Commercial at Birmingham Steel Company, and President of Inland Steel Bar Company. Mr. Alvarado has an MBA from the Johnson School, Cornell University and a Bachelor of Arts degree in Economics from the University of Notre Dame.</w:t>
            </w:r>
          </w:p>
        </w:tc>
        <w:tc>
          <w:tcPr>
            <w:tcW w:w="282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76"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tcBorders>
            <w:tcMar>
              <w:top w:w="28" w:type="dxa"/>
              <w:left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5192" w:type="dxa"/>
            <w:tcBorders>
              <w:bottom w:val="single" w:sz="2" w:space="0" w:color="FFCD00"/>
            </w:tcBorders>
            <w:tcMar>
              <w:bottom w:w="28" w:type="dxa"/>
            </w:tcMar>
            <w:vAlign w:val="center"/>
          </w:tcPr>
          <w:p>
            <w:pPr>
              <w:pStyle w:val="TableContents"/>
              <w:bidi w:val="0"/>
              <w:spacing w:before="0" w:after="0"/>
              <w:ind w:left="0" w:right="0" w:hanging="0"/>
              <w:jc w:val="left"/>
              <w:rPr/>
            </w:pPr>
            <w:r>
              <w:rPr/>
              <w:t>​</w:t>
            </w:r>
          </w:p>
        </w:tc>
        <w:tc>
          <w:tcPr>
            <w:tcW w:w="2828"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Mr. Alvarado is a strong leader with significant experience in managing global businesses. With his extensive knowledge of the metals industry and years of experience in manufacturing, he understands the challenges and opportunities facing Kennametal. He provides strategic insight and valuable perspective to our Board and is an “audit committee financial expert” based on his relevant experience with financial and accounting matters.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8"/>
        <w:gridCol w:w="109"/>
        <w:gridCol w:w="5384"/>
        <w:gridCol w:w="3214"/>
      </w:tblGrid>
      <w:tr>
        <w:trPr/>
        <w:tc>
          <w:tcPr>
            <w:tcW w:w="1498"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Shelley Bausch</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713105" cy="891540"/>
                  <wp:effectExtent l="0" t="0" r="0" b="0"/>
                  <wp:docPr id="7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1" descr=""/>
                          <pic:cNvPicPr>
                            <a:picLocks noChangeAspect="1" noChangeArrowheads="1"/>
                          </pic:cNvPicPr>
                        </pic:nvPicPr>
                        <pic:blipFill>
                          <a:blip r:embed="rId32"/>
                          <a:stretch>
                            <a:fillRect/>
                          </a:stretch>
                        </pic:blipFill>
                        <pic:spPr bwMode="auto">
                          <a:xfrm>
                            <a:off x="0" y="0"/>
                            <a:ext cx="713105" cy="891540"/>
                          </a:xfrm>
                          <a:prstGeom prst="rect">
                            <a:avLst/>
                          </a:prstGeom>
                        </pic:spPr>
                      </pic:pic>
                    </a:graphicData>
                  </a:graphic>
                </wp:inline>
              </w:drawing>
            </w:r>
          </w:p>
          <w:p>
            <w:pPr>
              <w:pStyle w:val="TableContents"/>
              <w:bidi w:val="0"/>
              <w:spacing w:before="4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60</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2025</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Compensation and Human</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Capital</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GATX Corporation</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Kraton Corporation (2017-2022)</w:t>
            </w:r>
          </w:p>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09" w:type="dxa"/>
            <w:tcBorders>
              <w:top w:val="single" w:sz="2" w:space="0" w:color="FFCD00"/>
            </w:tcBorders>
            <w:tcMar>
              <w:top w:w="28" w:type="dxa"/>
            </w:tcMar>
            <w:vAlign w:val="center"/>
          </w:tcPr>
          <w:p>
            <w:pPr>
              <w:pStyle w:val="TableContents"/>
              <w:bidi w:val="0"/>
              <w:spacing w:before="0" w:after="0"/>
              <w:ind w:left="0" w:right="0" w:hanging="0"/>
              <w:jc w:val="left"/>
              <w:rPr/>
            </w:pPr>
            <w:r>
              <w:rPr/>
              <w:t>​</w:t>
            </w:r>
          </w:p>
        </w:tc>
        <w:tc>
          <w:tcPr>
            <w:tcW w:w="5384"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115" w:hanging="0"/>
              <w:jc w:val="both"/>
              <w:rPr>
                <w:rFonts w:ascii="Arial;Helvetica;sans-serif" w:hAnsi="Arial;Helvetica;sans-serif"/>
                <w:sz w:val="18"/>
              </w:rPr>
            </w:pPr>
            <w:r>
              <w:rPr>
                <w:rFonts w:ascii="Arial;Helvetica;sans-serif" w:hAnsi="Arial;Helvetica;sans-serif"/>
                <w:sz w:val="18"/>
              </w:rPr>
              <w:t>Shelley Bausch recently retired as President, Global Industrial Coatings at Axalta. She led Axalta’s Industrial Coatings businesses, which include energy solutions, coil, wood, general industrial and powder coatings, and drove expansion into new industrial coatings markets. Previously, Ms. Bausch led the Asia Pacific region and the Fluid Technologies business unit for the Carlisle Companies Inc., a manufacturer of engineered products used in roofing, architectural metal, aerospace, medical technologies, industrial, transportation, refinish, and agriculture, mining and construction equipment markets. Before Carlisle, she led the Industrial Coatings business for PPG from 2014 to 2017 and spent 25 years at Dow Corning Corporation in a variety of senior management and commercial roles, including several years in Shanghai, China. </w:t>
            </w:r>
          </w:p>
          <w:p>
            <w:pPr>
              <w:pStyle w:val="TableContents"/>
              <w:bidi w:val="0"/>
              <w:spacing w:before="0" w:after="200"/>
              <w:ind w:left="0" w:right="0" w:hanging="0"/>
              <w:jc w:val="both"/>
              <w:rPr>
                <w:rFonts w:ascii="Arial;Helvetica;sans-serif" w:hAnsi="Arial;Helvetica;sans-serif"/>
                <w:sz w:val="18"/>
              </w:rPr>
            </w:pPr>
            <w:r>
              <w:rPr>
                <w:rFonts w:ascii="Arial;Helvetica;sans-serif" w:hAnsi="Arial;Helvetica;sans-serif"/>
                <w:sz w:val="18"/>
              </w:rPr>
              <w:t>Since 2023, Ms. Bausch has served on the board of directors of GATX Corporation, a leading global lessor of transportation assets including railcars and aircraft spare engines, where she also serves on the Audit Committee and Governance Committee.</w:t>
            </w:r>
          </w:p>
        </w:tc>
        <w:tc>
          <w:tcPr>
            <w:tcW w:w="321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498"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tcBorders>
            <w:tcMar>
              <w:top w:w="28" w:type="dxa"/>
              <w:left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5384" w:type="dxa"/>
            <w:tcBorders>
              <w:bottom w:val="single" w:sz="2" w:space="0" w:color="FFCD00"/>
            </w:tcBorders>
            <w:tcMar>
              <w:bottom w:w="28" w:type="dxa"/>
            </w:tcMar>
            <w:vAlign w:val="center"/>
          </w:tcPr>
          <w:p>
            <w:pPr>
              <w:pStyle w:val="TableContents"/>
              <w:bidi w:val="0"/>
              <w:spacing w:before="0" w:after="0"/>
              <w:ind w:left="0" w:right="0" w:hanging="0"/>
              <w:jc w:val="left"/>
              <w:rPr/>
            </w:pPr>
            <w:r>
              <w:rPr/>
              <w:t>​</w:t>
            </w:r>
          </w:p>
        </w:tc>
        <w:tc>
          <w:tcPr>
            <w:tcW w:w="3214"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Ms. Bausch earned a B.S. in Business Administration, summa cum laude, from Alma College and an M.B.A. from the University of Michigan – Flint. With her years of  experience successfully leading global manufacturing businesses and her history of driving growth, transforming businesses and establishing strategies that lead to business success, she provides strategic insight and valuable perspective to our Board.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340" w:type="dxa"/>
        <w:jc w:val="left"/>
        <w:tblInd w:w="0" w:type="dxa"/>
        <w:tblLayout w:type="fixed"/>
        <w:tblCellMar>
          <w:top w:w="0" w:type="dxa"/>
          <w:left w:w="0" w:type="dxa"/>
          <w:bottom w:w="0" w:type="dxa"/>
          <w:right w:w="0" w:type="dxa"/>
        </w:tblCellMar>
      </w:tblPr>
      <w:tblGrid>
        <w:gridCol w:w="124"/>
        <w:gridCol w:w="4216"/>
      </w:tblGrid>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7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2" descr=""/>
                    <pic:cNvPicPr>
                      <a:picLocks noChangeAspect="1" noChangeArrowheads="1"/>
                    </pic:cNvPicPr>
                  </pic:nvPicPr>
                  <pic:blipFill>
                    <a:blip r:embed="rId3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PROPOSAL I. Election of Directors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6"/>
        <w:gridCol w:w="109"/>
        <w:gridCol w:w="4546"/>
        <w:gridCol w:w="3754"/>
      </w:tblGrid>
      <w:tr>
        <w:trPr/>
        <w:tc>
          <w:tcPr>
            <w:tcW w:w="1796"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Sanjay Chowbey</w:t>
            </w:r>
          </w:p>
          <w:p>
            <w:pPr>
              <w:pStyle w:val="TableContents"/>
              <w:bidi w:val="0"/>
              <w:spacing w:before="0" w:after="0"/>
              <w:ind w:left="432" w:right="0" w:hanging="0"/>
              <w:jc w:val="both"/>
              <w:rPr>
                <w:caps w:val="false"/>
                <w:smallCaps w:val="false"/>
                <w:color w:val="000000"/>
              </w:rPr>
            </w:pPr>
            <w:r>
              <w:rPr>
                <w:caps w:val="false"/>
                <w:smallCaps w:val="false"/>
                <w:color w:val="000000"/>
              </w:rPr>
              <w:drawing>
                <wp:inline distT="0" distB="0" distL="0" distR="0">
                  <wp:extent cx="722630" cy="722630"/>
                  <wp:effectExtent l="0" t="0" r="0" b="0"/>
                  <wp:docPr id="7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3" descr=""/>
                          <pic:cNvPicPr>
                            <a:picLocks noChangeAspect="1" noChangeArrowheads="1"/>
                          </pic:cNvPicPr>
                        </pic:nvPicPr>
                        <pic:blipFill>
                          <a:blip r:embed="rId34"/>
                          <a:stretch>
                            <a:fillRect/>
                          </a:stretch>
                        </pic:blipFill>
                        <pic:spPr bwMode="auto">
                          <a:xfrm>
                            <a:off x="0" y="0"/>
                            <a:ext cx="722630" cy="722630"/>
                          </a:xfrm>
                          <a:prstGeom prst="rect">
                            <a:avLst/>
                          </a:prstGeom>
                        </pic:spPr>
                      </pic:pic>
                    </a:graphicData>
                  </a:graphic>
                </wp:inline>
              </w:drawing>
            </w:r>
          </w:p>
          <w:p>
            <w:pPr>
              <w:pStyle w:val="TableContents"/>
              <w:bidi w:val="0"/>
              <w:spacing w:before="4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Age: 58</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Director since: 2024</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Non-Independent</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NOV Inc.</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Directorships:</w:t>
            </w:r>
          </w:p>
          <w:p>
            <w:pPr>
              <w:pStyle w:val="TableContents"/>
              <w:bidi w:val="0"/>
              <w:spacing w:before="0" w:after="20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National Association of Manufacturers</w:t>
            </w:r>
          </w:p>
        </w:tc>
        <w:tc>
          <w:tcPr>
            <w:tcW w:w="109" w:type="dxa"/>
            <w:tcBorders>
              <w:top w:val="single" w:sz="2" w:space="0" w:color="FFCD00"/>
            </w:tcBorders>
            <w:tcMar>
              <w:top w:w="28" w:type="dxa"/>
            </w:tcMar>
            <w:vAlign w:val="center"/>
          </w:tcPr>
          <w:p>
            <w:pPr>
              <w:pStyle w:val="TableContents"/>
              <w:bidi w:val="0"/>
              <w:spacing w:before="0" w:after="0"/>
              <w:ind w:left="0" w:right="0" w:hanging="0"/>
              <w:jc w:val="left"/>
              <w:rPr/>
            </w:pPr>
            <w:r>
              <w:rPr/>
              <w:t>​</w:t>
            </w:r>
          </w:p>
        </w:tc>
        <w:tc>
          <w:tcPr>
            <w:tcW w:w="4546"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115" w:hanging="0"/>
              <w:jc w:val="both"/>
              <w:rPr>
                <w:rFonts w:ascii="Arial;Helvetica;sans-serif" w:hAnsi="Arial;Helvetica;sans-serif"/>
                <w:sz w:val="18"/>
              </w:rPr>
            </w:pPr>
            <w:r>
              <w:rPr>
                <w:rFonts w:ascii="Arial;Helvetica;sans-serif" w:hAnsi="Arial;Helvetica;sans-serif"/>
                <w:sz w:val="18"/>
              </w:rPr>
              <w:t xml:space="preserve">Mr. Chowbey is President and CEO and a member of the Board of Directors of Kennametal Inc. He has been serving in these positions since June 1, 2024. </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 xml:space="preserve">Mr. Chowbey joined Kennametal in 2021 as Vice President Kennametal Inc. and President of the Metal Cutting segment where he had global responsibility for advancing the business segment’s strategy, driving operational excellence and delivering profitable growth. Prior to that, he served as President of the $1.2 billion Services &amp; Solutions business at Flowserve. </w:t>
            </w:r>
          </w:p>
          <w:p>
            <w:pPr>
              <w:pStyle w:val="TableContents"/>
              <w:bidi w:val="0"/>
              <w:spacing w:before="0" w:after="200"/>
              <w:ind w:left="0" w:right="0" w:hanging="0"/>
              <w:jc w:val="both"/>
              <w:rPr>
                <w:rFonts w:ascii="Arial;Helvetica;sans-serif" w:hAnsi="Arial;Helvetica;sans-serif"/>
                <w:sz w:val="18"/>
              </w:rPr>
            </w:pPr>
            <w:r>
              <w:rPr>
                <w:rFonts w:ascii="Arial;Helvetica;sans-serif" w:hAnsi="Arial;Helvetica;sans-serif"/>
                <w:sz w:val="18"/>
              </w:rPr>
              <w:t xml:space="preserve">He has more than 20 years of experience at various industrial companies, including Flowserve Corporation, Danaher and Arvin Meritor Inc. Mr. Chowbey brings deep global and cross-functional perspective having held various President and General Manager roles, with responsibility for strategy, operations, sales, marketing and finance. </w:t>
            </w:r>
          </w:p>
        </w:tc>
        <w:tc>
          <w:tcPr>
            <w:tcW w:w="37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796"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tcBorders>
            <w:tcMar>
              <w:top w:w="28" w:type="dxa"/>
              <w:left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4546" w:type="dxa"/>
            <w:tcBorders>
              <w:bottom w:val="single" w:sz="2" w:space="0" w:color="FFCD00"/>
            </w:tcBorders>
            <w:tcMar>
              <w:bottom w:w="28" w:type="dxa"/>
            </w:tcMar>
            <w:vAlign w:val="center"/>
          </w:tcPr>
          <w:p>
            <w:pPr>
              <w:pStyle w:val="TableContents"/>
              <w:bidi w:val="0"/>
              <w:spacing w:before="0" w:after="0"/>
              <w:ind w:left="0" w:right="0" w:hanging="0"/>
              <w:jc w:val="left"/>
              <w:rPr/>
            </w:pPr>
            <w:r>
              <w:rPr/>
              <w:t>​</w:t>
            </w:r>
          </w:p>
        </w:tc>
        <w:tc>
          <w:tcPr>
            <w:tcW w:w="3754"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pPr>
            <w:r>
              <w:rPr/>
              <w:t> </w:t>
            </w:r>
            <w:r>
              <w:rPr>
                <w:rFonts w:ascii="Arial;Helvetica;sans-serif" w:hAnsi="Arial;Helvetica;sans-serif"/>
                <w:sz w:val="18"/>
              </w:rPr>
              <w:t>Mr. Chowbey earned his MBA from the Kellogg School of Management at Northwestern University; Master of Science degree in mechanical engineering from Tennessee Tech University; and Bachelor of Science degree in mechanical engineering from B.I.T. in Sindri, India.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1"/>
        <w:gridCol w:w="109"/>
        <w:gridCol w:w="5330"/>
        <w:gridCol w:w="2595"/>
      </w:tblGrid>
      <w:tr>
        <w:trPr/>
        <w:tc>
          <w:tcPr>
            <w:tcW w:w="2171"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Douglas T. Dietrich</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719455" cy="899795"/>
                  <wp:effectExtent l="0" t="0" r="0" b="0"/>
                  <wp:docPr id="7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4" descr=""/>
                          <pic:cNvPicPr>
                            <a:picLocks noChangeAspect="1" noChangeArrowheads="1"/>
                          </pic:cNvPicPr>
                        </pic:nvPicPr>
                        <pic:blipFill>
                          <a:blip r:embed="rId35"/>
                          <a:stretch>
                            <a:fillRect/>
                          </a:stretch>
                        </pic:blipFill>
                        <pic:spPr bwMode="auto">
                          <a:xfrm>
                            <a:off x="0" y="0"/>
                            <a:ext cx="719455" cy="899795"/>
                          </a:xfrm>
                          <a:prstGeom prst="rect">
                            <a:avLst/>
                          </a:prstGeom>
                        </pic:spPr>
                      </pic:pic>
                    </a:graphicData>
                  </a:graphic>
                </wp:inline>
              </w:drawing>
            </w:r>
          </w:p>
          <w:p>
            <w:pPr>
              <w:pStyle w:val="TableContents"/>
              <w:bidi w:val="0"/>
              <w:spacing w:before="4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57</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2025</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 (Chair)</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Nominating / Corporate</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Governance</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Minerals Technologies Inc.</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Penn Cultural Heritage Center</w:t>
            </w:r>
          </w:p>
          <w:p>
            <w:pPr>
              <w:pStyle w:val="TableContents"/>
              <w:bidi w:val="0"/>
              <w:spacing w:before="0" w:after="20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University of Pennsylvania Museum of Archeology and Anthropology</w:t>
            </w:r>
          </w:p>
        </w:tc>
        <w:tc>
          <w:tcPr>
            <w:tcW w:w="109" w:type="dxa"/>
            <w:tcBorders>
              <w:top w:val="single" w:sz="2" w:space="0" w:color="FFCD00"/>
            </w:tcBorders>
            <w:tcMar>
              <w:top w:w="28" w:type="dxa"/>
            </w:tcMar>
            <w:vAlign w:val="center"/>
          </w:tcPr>
          <w:p>
            <w:pPr>
              <w:pStyle w:val="TableContents"/>
              <w:bidi w:val="0"/>
              <w:spacing w:before="0" w:after="0"/>
              <w:ind w:left="0" w:right="0" w:hanging="0"/>
              <w:jc w:val="left"/>
              <w:rPr/>
            </w:pPr>
            <w:r>
              <w:rPr/>
              <w:t>​</w:t>
            </w:r>
          </w:p>
        </w:tc>
        <w:tc>
          <w:tcPr>
            <w:tcW w:w="5330"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0" w:hanging="0"/>
              <w:jc w:val="both"/>
              <w:rPr>
                <w:rFonts w:ascii="Arial;Helvetica;sans-serif" w:hAnsi="Arial;Helvetica;sans-serif"/>
                <w:sz w:val="18"/>
              </w:rPr>
            </w:pPr>
            <w:r>
              <w:rPr>
                <w:rFonts w:ascii="Arial;Helvetica;sans-serif" w:hAnsi="Arial;Helvetica;sans-serif"/>
                <w:sz w:val="18"/>
              </w:rPr>
              <w:t xml:space="preserve">Douglas T. Dietrich was elected Minerals Technologies Chairman of the Board in March 2021. He has served as the Chief Executive Officer of Minerals Technologies Inc. (MTI) since December 2016. Mr. Dietrich has over 30 years of experience in the industrial goods, mining and metals manufacturing sector as well as significant expertise in engineering, management and operations. Since joining MTI in 2007, Mr. Dietrich has held numerous key management positions, including Senior Vice President, Finance and Treasury and Chief Financial Officer with responsibility for the overall finance function, and Vice President, Corporate Development and Treasury where he led Corporate Strategy and M&amp;A initiatives. Prior to his tenure at MTI, Mr. Dietrich held several positions of increasing leadership responsibility at Alcoa Inc. These roles included Vice President, Alcoa Wheel Products - Automotive Wheels; President, Alcoa Latin America Extrusions; General Manager, Global Rod and Bar Products; and Manager, Business Development and Strategic Global Sourcing – Asia and Latin America. Earlier in his career, Mr. Dietrich worked for Eaton Corporation and Westinghouse Electric Corporation where he held various positions in Engineering and Operations Management. </w:t>
            </w:r>
          </w:p>
        </w:tc>
        <w:tc>
          <w:tcPr>
            <w:tcW w:w="259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71"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tcBorders>
            <w:tcMar>
              <w:top w:w="28" w:type="dxa"/>
              <w:left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5330" w:type="dxa"/>
            <w:tcBorders>
              <w:bottom w:val="single" w:sz="2" w:space="0" w:color="FFCD00"/>
            </w:tcBorders>
            <w:tcMar>
              <w:bottom w:w="28" w:type="dxa"/>
            </w:tcMar>
            <w:vAlign w:val="center"/>
          </w:tcPr>
          <w:p>
            <w:pPr>
              <w:pStyle w:val="TableContents"/>
              <w:bidi w:val="0"/>
              <w:spacing w:before="0" w:after="0"/>
              <w:ind w:left="0" w:right="0" w:hanging="0"/>
              <w:jc w:val="left"/>
              <w:rPr/>
            </w:pPr>
            <w:r>
              <w:rPr/>
              <w:t>​</w:t>
            </w:r>
          </w:p>
        </w:tc>
        <w:tc>
          <w:tcPr>
            <w:tcW w:w="2595"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pPr>
            <w:r>
              <w:rPr/>
              <w:t> </w:t>
            </w:r>
            <w:r>
              <w:rPr>
                <w:rFonts w:ascii="Arial;Helvetica;sans-serif" w:hAnsi="Arial;Helvetica;sans-serif"/>
                <w:sz w:val="18"/>
              </w:rPr>
              <w:t>Mr. Dietrich holds a Bachelor of Science degree in Mechanical Engineering from the University of Michigan and an MBA in Finance from The Wharton School at the University of Pennsylvania. He provides strategic insight and valuable perspective to our Board and is an “audit committee financial expert” based on his relevant experience with financial and accounting matters.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10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7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5" descr=""/>
                    <pic:cNvPicPr>
                      <a:picLocks noChangeAspect="1" noChangeArrowheads="1"/>
                    </pic:cNvPicPr>
                  </pic:nvPicPr>
                  <pic:blipFill>
                    <a:blip r:embed="rId36"/>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PROPOSAL I. Election of Directors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2"/>
        <w:gridCol w:w="109"/>
        <w:gridCol w:w="6000"/>
        <w:gridCol w:w="2484"/>
      </w:tblGrid>
      <w:tr>
        <w:trPr/>
        <w:tc>
          <w:tcPr>
            <w:tcW w:w="1612"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Richard J. Harshman</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603250" cy="904240"/>
                  <wp:effectExtent l="0" t="0" r="0" b="0"/>
                  <wp:docPr id="7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6" descr=""/>
                          <pic:cNvPicPr>
                            <a:picLocks noChangeAspect="1" noChangeArrowheads="1"/>
                          </pic:cNvPicPr>
                        </pic:nvPicPr>
                        <pic:blipFill>
                          <a:blip r:embed="rId37"/>
                          <a:stretch>
                            <a:fillRect/>
                          </a:stretch>
                        </pic:blipFill>
                        <pic:spPr bwMode="auto">
                          <a:xfrm>
                            <a:off x="0" y="0"/>
                            <a:ext cx="603250" cy="904240"/>
                          </a:xfrm>
                          <a:prstGeom prst="rect">
                            <a:avLst/>
                          </a:prstGeom>
                        </pic:spPr>
                      </pic:pic>
                    </a:graphicData>
                  </a:graphic>
                </wp:inline>
              </w:drawing>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70</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2026</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None</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Ameren Corporation</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PNC Financial Service Group Inc.</w:t>
            </w:r>
          </w:p>
          <w:p>
            <w:pPr>
              <w:pStyle w:val="TableContents"/>
              <w:bidi w:val="0"/>
              <w:spacing w:before="0" w:after="240"/>
              <w:ind w:left="0" w:right="0" w:hanging="0"/>
              <w:jc w:val="left"/>
              <w:rPr>
                <w:caps w:val="false"/>
                <w:smallCaps w:val="false"/>
                <w:color w:val="000000"/>
              </w:rPr>
            </w:pPr>
            <w:r>
              <w:rPr>
                <w:caps w:val="false"/>
                <w:smallCaps w:val="false"/>
                <w:color w:val="000000"/>
              </w:rPr>
              <w:t>​</w:t>
            </w:r>
          </w:p>
        </w:tc>
        <w:tc>
          <w:tcPr>
            <w:tcW w:w="109" w:type="dxa"/>
            <w:tcBorders>
              <w:top w:val="single" w:sz="2" w:space="0" w:color="FFCD00"/>
              <w:left w:val="single" w:sz="2" w:space="0" w:color="FFCD00"/>
            </w:tcBorders>
            <w:tcMar>
              <w:top w:w="28" w:type="dxa"/>
              <w:left w:w="28" w:type="dxa"/>
            </w:tcMar>
            <w:vAlign w:val="center"/>
          </w:tcPr>
          <w:p>
            <w:pPr>
              <w:pStyle w:val="TableContents"/>
              <w:bidi w:val="0"/>
              <w:spacing w:before="0" w:after="0"/>
              <w:ind w:left="0" w:right="0" w:hanging="0"/>
              <w:jc w:val="left"/>
              <w:rPr/>
            </w:pPr>
            <w:r>
              <w:rPr/>
              <w:t>​</w:t>
            </w:r>
          </w:p>
        </w:tc>
        <w:tc>
          <w:tcPr>
            <w:tcW w:w="6000"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0" w:hanging="0"/>
              <w:jc w:val="both"/>
              <w:rPr>
                <w:rFonts w:ascii="Arial;Helvetica;sans-serif" w:hAnsi="Arial;Helvetica;sans-serif"/>
                <w:sz w:val="18"/>
              </w:rPr>
            </w:pPr>
            <w:r>
              <w:rPr>
                <w:rFonts w:ascii="Arial;Helvetica;sans-serif" w:hAnsi="Arial;Helvetica;sans-serif"/>
                <w:sz w:val="18"/>
              </w:rPr>
              <w:t>Mr. Harshman is the retired Executive Chairman and former President and Chief Executive Officer of Allegheny Technologies Incorporated (now known as ATI Inc.) (“ATI”), a global manufacturer of technically advanced specialty materials and complex parts and components. Mr. Harshman served as the Chairman, President and CEO of ATI from 2011 through 2018 and Executive Chairman in 2019 until his retirement from the ATI Board of Directors. Mr. Harshman previously served in other roles at ATI, including President and Chief Operating Officer from 2010 to 2011, Executive Vice President and Chief Financial Officer from 2000 to 2010 and other roles of increasing responsibility since 1996. Mr. Harshman began his career as an internal auditor at Teledyne, Inc., a predecessor company to ATI, in 1978. Mr. Harshman is active within the Pittsburgh community, including through his service with several nonprofit boards. He is the immediate past chair and a current member of the Executive Committee of the Board of Trustees of the Pittsburgh Cultural Trust. Mr. Harshman also is past chair and current member of the Executive Committee of the Board of Directors of the United Way of Southwestern Pennsylvania. Previously, he served as the chair of the Allegheny Conference on Community Development and as a member of the board of trustees of Robert Morris University including 6 years as chair, in addition to his service with other Pittsburgh-based nonprofit organizations.</w:t>
            </w:r>
          </w:p>
        </w:tc>
        <w:tc>
          <w:tcPr>
            <w:tcW w:w="248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12"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right w:val="single" w:sz="2" w:space="0" w:color="FFCD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6000" w:type="dxa"/>
            <w:tcBorders>
              <w:left w:val="single" w:sz="2" w:space="0" w:color="FFCD00"/>
              <w:bottom w:val="single" w:sz="2" w:space="0" w:color="FFCD00"/>
            </w:tcBorders>
            <w:tcMar>
              <w:left w:w="28" w:type="dxa"/>
              <w:bottom w:w="28" w:type="dxa"/>
            </w:tcMar>
            <w:vAlign w:val="center"/>
          </w:tcPr>
          <w:p>
            <w:pPr>
              <w:pStyle w:val="TableContents"/>
              <w:bidi w:val="0"/>
              <w:spacing w:before="0" w:after="0"/>
              <w:ind w:left="0" w:right="0" w:hanging="0"/>
              <w:jc w:val="left"/>
              <w:rPr/>
            </w:pPr>
            <w:r>
              <w:rPr/>
              <w:t>​</w:t>
            </w:r>
          </w:p>
        </w:tc>
        <w:tc>
          <w:tcPr>
            <w:tcW w:w="2484"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Mr. Harshman received his undergraduate degree from Robert Morris University and CPA certification in the State of California. He brings a unique perspective to the Board with his extensive executive leadership, financial and corporate governance experience, and knowledge of the industrial, materials, and aerospace and defense markets.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06"/>
        <w:gridCol w:w="109"/>
        <w:gridCol w:w="5518"/>
        <w:gridCol w:w="3072"/>
      </w:tblGrid>
      <w:tr>
        <w:trPr/>
        <w:tc>
          <w:tcPr>
            <w:tcW w:w="1506"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Dawne Hickton</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603250" cy="701040"/>
                  <wp:effectExtent l="0" t="0" r="0" b="0"/>
                  <wp:docPr id="8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7" descr=""/>
                          <pic:cNvPicPr>
                            <a:picLocks noChangeAspect="1" noChangeArrowheads="1"/>
                          </pic:cNvPicPr>
                        </pic:nvPicPr>
                        <pic:blipFill>
                          <a:blip r:embed="rId38"/>
                          <a:stretch>
                            <a:fillRect/>
                          </a:stretch>
                        </pic:blipFill>
                        <pic:spPr bwMode="auto">
                          <a:xfrm>
                            <a:off x="0" y="0"/>
                            <a:ext cx="603250" cy="701040"/>
                          </a:xfrm>
                          <a:prstGeom prst="rect">
                            <a:avLst/>
                          </a:prstGeom>
                        </pic:spPr>
                      </pic:pic>
                    </a:graphicData>
                  </a:graphic>
                </wp:inline>
              </w:drawing>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68</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2026</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None</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Commercial Metals Co;</w:t>
            </w:r>
          </w:p>
          <w:p>
            <w:pPr>
              <w:pStyle w:val="TableContents"/>
              <w:bidi w:val="0"/>
              <w:spacing w:before="0" w:after="0"/>
              <w:ind w:left="432"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Elevra Lithium Limited</w:t>
            </w:r>
          </w:p>
          <w:p>
            <w:pPr>
              <w:pStyle w:val="TableContents"/>
              <w:bidi w:val="0"/>
              <w:spacing w:before="0" w:after="0"/>
              <w:ind w:left="432" w:right="0" w:hanging="0"/>
              <w:jc w:val="both"/>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Directorships:</w:t>
            </w:r>
          </w:p>
          <w:p>
            <w:pPr>
              <w:pStyle w:val="TableContents"/>
              <w:bidi w:val="0"/>
              <w:spacing w:before="0" w:after="0"/>
              <w:ind w:left="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Vmo Air</w:t>
            </w:r>
          </w:p>
        </w:tc>
        <w:tc>
          <w:tcPr>
            <w:tcW w:w="109" w:type="dxa"/>
            <w:tcBorders>
              <w:top w:val="single" w:sz="2" w:space="0" w:color="FFCD00"/>
              <w:left w:val="single" w:sz="2" w:space="0" w:color="FFCD00"/>
            </w:tcBorders>
            <w:tcMar>
              <w:top w:w="28" w:type="dxa"/>
              <w:left w:w="28" w:type="dxa"/>
            </w:tcMar>
            <w:vAlign w:val="center"/>
          </w:tcPr>
          <w:p>
            <w:pPr>
              <w:pStyle w:val="TableContents"/>
              <w:bidi w:val="0"/>
              <w:spacing w:before="0" w:after="0"/>
              <w:ind w:left="0" w:right="0" w:hanging="0"/>
              <w:jc w:val="left"/>
              <w:rPr/>
            </w:pPr>
            <w:r>
              <w:rPr/>
              <w:t>​</w:t>
            </w:r>
          </w:p>
        </w:tc>
        <w:tc>
          <w:tcPr>
            <w:tcW w:w="5518"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115" w:hanging="0"/>
              <w:jc w:val="both"/>
              <w:rPr>
                <w:rFonts w:ascii="Arial;Helvetica;sans-serif" w:hAnsi="Arial;Helvetica;sans-serif"/>
                <w:sz w:val="18"/>
              </w:rPr>
            </w:pPr>
            <w:r>
              <w:rPr>
                <w:rFonts w:ascii="Arial;Helvetica;sans-serif" w:hAnsi="Arial;Helvetica;sans-serif"/>
                <w:sz w:val="18"/>
              </w:rPr>
              <w:t xml:space="preserve">Ms. Hickton is the current Chair, CEO, and lead investor of Cumberland Additive, Inc., an innovative new technology additive manufacturing business in the aerospace, defense, and space requirements. Immediately prior to her current role, Ms. Hickton served as Executive Vice President of Jacobs (NYSE:J) and President of its Critical Mission Solutions line of business. Ms. Hickton had previously been elected to the Board of Directors of Jacobs in 2015 where she served on the Audit and Governance committees of the Board. In 2019, she moved into the Executive role. Prior to her position at Jacobs, from 2007 until 2015, Ms. Hickton was the Vice Chair, President, and CEO of RTI International Metals, Inc. (NYSE:RTI) a billion dollar company, vertically integrated global supplier of advanced titanium and specialty metals fabricated structural products for the aerospace, defense and energy markets. </w:t>
            </w:r>
          </w:p>
          <w:p>
            <w:pPr>
              <w:pStyle w:val="TableContents"/>
              <w:bidi w:val="0"/>
              <w:spacing w:before="0" w:after="200"/>
              <w:ind w:left="0" w:right="0" w:hanging="0"/>
              <w:jc w:val="both"/>
              <w:rPr>
                <w:rFonts w:ascii="Arial;Helvetica;sans-serif" w:hAnsi="Arial;Helvetica;sans-serif"/>
                <w:sz w:val="18"/>
              </w:rPr>
            </w:pPr>
            <w:r>
              <w:rPr>
                <w:rFonts w:ascii="Arial;Helvetica;sans-serif" w:hAnsi="Arial;Helvetica;sans-serif"/>
                <w:sz w:val="18"/>
              </w:rPr>
              <w:t>Prior to assuming the role as CEO at RTI, Ms. Hickton had been in executive management roles at the Company including finance and administration, and prior to joining the executive team at RTI, Hickton was employed as a faculty member at the University of Pittsburgh from 1994 - 1997. She started her career at United States Steel Corporation and spent over ten years working in a legal capacity on matters in the steel division, mining business, and in the construction business under the American Bridge division of U. S. Steel.</w:t>
            </w:r>
          </w:p>
        </w:tc>
        <w:tc>
          <w:tcPr>
            <w:tcW w:w="3072"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06"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right w:val="single" w:sz="2" w:space="0" w:color="FFCD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5518" w:type="dxa"/>
            <w:tcBorders>
              <w:left w:val="single" w:sz="2" w:space="0" w:color="FFCD00"/>
              <w:bottom w:val="single" w:sz="2" w:space="0" w:color="FFCD00"/>
            </w:tcBorders>
            <w:tcMar>
              <w:left w:w="28" w:type="dxa"/>
              <w:bottom w:w="28" w:type="dxa"/>
            </w:tcMar>
            <w:vAlign w:val="center"/>
          </w:tcPr>
          <w:p>
            <w:pPr>
              <w:pStyle w:val="TableContents"/>
              <w:bidi w:val="0"/>
              <w:spacing w:before="0" w:after="0"/>
              <w:ind w:left="0" w:right="0" w:hanging="0"/>
              <w:jc w:val="left"/>
              <w:rPr/>
            </w:pPr>
            <w:r>
              <w:rPr/>
              <w:t>​</w:t>
            </w:r>
          </w:p>
        </w:tc>
        <w:tc>
          <w:tcPr>
            <w:tcW w:w="3072"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0" w:after="20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Ms. Hickton received her undergraduate degree from the University of Rochester and Juris Doctorate at the University of Pittsburgh School of Law. Her executive leadership, public company board experience and deep knowledge of the industrial, materials, and aerospace and defense markets provide strategic insight and valuable perspective to our Board.</w:t>
            </w:r>
          </w:p>
          <w:p>
            <w:pPr>
              <w:pStyle w:val="TableContents"/>
              <w:bidi w:val="0"/>
              <w:spacing w:before="0" w:after="200"/>
              <w:ind w:left="0" w:right="115"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11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8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8" descr=""/>
                    <pic:cNvPicPr>
                      <a:picLocks noChangeAspect="1" noChangeArrowheads="1"/>
                    </pic:cNvPicPr>
                  </pic:nvPicPr>
                  <pic:blipFill>
                    <a:blip r:embed="rId39"/>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PROPOSAL I. Election of Directors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3"/>
        <w:gridCol w:w="109"/>
        <w:gridCol w:w="5962"/>
        <w:gridCol w:w="2651"/>
      </w:tblGrid>
      <w:tr>
        <w:trPr/>
        <w:tc>
          <w:tcPr>
            <w:tcW w:w="1483"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Lorraine M. Martin</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603250" cy="914400"/>
                  <wp:effectExtent l="0" t="0" r="0" b="0"/>
                  <wp:docPr id="8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9" descr=""/>
                          <pic:cNvPicPr>
                            <a:picLocks noChangeAspect="1" noChangeArrowheads="1"/>
                          </pic:cNvPicPr>
                        </pic:nvPicPr>
                        <pic:blipFill>
                          <a:blip r:embed="rId40"/>
                          <a:stretch>
                            <a:fillRect/>
                          </a:stretch>
                        </pic:blipFill>
                        <pic:spPr bwMode="auto">
                          <a:xfrm>
                            <a:off x="0" y="0"/>
                            <a:ext cx="603250" cy="914400"/>
                          </a:xfrm>
                          <a:prstGeom prst="rect">
                            <a:avLst/>
                          </a:prstGeom>
                        </pic:spPr>
                      </pic:pic>
                    </a:graphicData>
                  </a:graphic>
                </wp:inline>
              </w:drawing>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64</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2018</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Compensation and Human Capital (Chair)</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IperionX Limited</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Directorships:</w:t>
            </w:r>
          </w:p>
          <w:p>
            <w:pPr>
              <w:pStyle w:val="TableContents"/>
              <w:bidi w:val="0"/>
              <w:spacing w:before="0" w:after="24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National Safety Council</w:t>
            </w:r>
          </w:p>
        </w:tc>
        <w:tc>
          <w:tcPr>
            <w:tcW w:w="109" w:type="dxa"/>
            <w:tcBorders>
              <w:top w:val="single" w:sz="2" w:space="0" w:color="FFCD00"/>
              <w:left w:val="single" w:sz="2" w:space="0" w:color="FFCD00"/>
            </w:tcBorders>
            <w:tcMar>
              <w:top w:w="28" w:type="dxa"/>
              <w:left w:w="28" w:type="dxa"/>
            </w:tcMar>
            <w:vAlign w:val="center"/>
          </w:tcPr>
          <w:p>
            <w:pPr>
              <w:pStyle w:val="TableContents"/>
              <w:bidi w:val="0"/>
              <w:spacing w:before="0" w:after="0"/>
              <w:ind w:left="0" w:right="0" w:hanging="0"/>
              <w:jc w:val="left"/>
              <w:rPr/>
            </w:pPr>
            <w:r>
              <w:rPr/>
              <w:t>​</w:t>
            </w:r>
          </w:p>
        </w:tc>
        <w:tc>
          <w:tcPr>
            <w:tcW w:w="5962"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0" w:hanging="0"/>
              <w:jc w:val="both"/>
              <w:rPr>
                <w:rFonts w:ascii="Arial;Helvetica;sans-serif" w:hAnsi="Arial;Helvetica;sans-serif"/>
                <w:sz w:val="18"/>
              </w:rPr>
            </w:pPr>
            <w:r>
              <w:rPr>
                <w:rFonts w:ascii="Arial;Helvetica;sans-serif" w:hAnsi="Arial;Helvetica;sans-serif"/>
                <w:sz w:val="18"/>
              </w:rPr>
              <w:t>Ms. Martin is a director and CEO of the National Safety Council, serving in this position since June 2019. She is also co-founder and President of Pegasus Springs Foundation, a nonprofit organization focused on education and mentoring. In 2021, Ms. Martin was appointed to the Board of Directors of IperionX Limited, a developer of sustainable, critical material supply chains, and was appointed independent Lead Director in March 2025. Ms. Martin is the retired Executive Vice President and Deputy of Rotary and Mission Systems (RMS) for Lockheed Martin Corporation, a global aerospace, defense, security and advance technologies company. Prior to RMS, Ms. Martin was Executive Vice President and General Manager for the F-35 Lightning II Program for Lockheed Martin Aeronautics Company. Her leadership of the F-35 program earned Pentagon recognition for reducing program costs while increasing production and fielding more aircraft worldwide. She joined Lockheed Martin in 1988 and during her tenure, held a variety of high visibility leadership positions across the corporation. Prior to joining Lockheed Martin, she served as an officer in the U.S. Air Force, holding various leadership positions for software intensive technology and development programs. She has a Master of Science degree in Computer Science from Boston University and a Bachelor of Arts degree in Computational Mathematics from DePauw University.</w:t>
            </w:r>
          </w:p>
        </w:tc>
        <w:tc>
          <w:tcPr>
            <w:tcW w:w="265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483"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right w:val="single" w:sz="2" w:space="0" w:color="FFCD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5962" w:type="dxa"/>
            <w:tcBorders>
              <w:left w:val="single" w:sz="2" w:space="0" w:color="FFCD00"/>
              <w:bottom w:val="single" w:sz="2" w:space="0" w:color="FFCD00"/>
            </w:tcBorders>
            <w:tcMar>
              <w:left w:w="28" w:type="dxa"/>
              <w:bottom w:w="28" w:type="dxa"/>
            </w:tcMar>
            <w:vAlign w:val="center"/>
          </w:tcPr>
          <w:p>
            <w:pPr>
              <w:pStyle w:val="TableContents"/>
              <w:bidi w:val="0"/>
              <w:spacing w:before="0" w:after="0"/>
              <w:ind w:left="0" w:right="0" w:hanging="0"/>
              <w:jc w:val="left"/>
              <w:rPr/>
            </w:pPr>
            <w:r>
              <w:rPr/>
              <w:t>​</w:t>
            </w:r>
          </w:p>
        </w:tc>
        <w:tc>
          <w:tcPr>
            <w:tcW w:w="2651"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Ms. Martin has over 35 years’ experience in the aerospace industry and is a proven leader in a variety of challenging roles. Her experience in international business and manufacturing is of significant value to Kennametal. She brings a unique perspective to our Board with her extensive knowledge of the aerospace industry, technology, supply chain management and strategic planning.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4"/>
        <w:gridCol w:w="109"/>
        <w:gridCol w:w="6442"/>
        <w:gridCol w:w="2190"/>
      </w:tblGrid>
      <w:tr>
        <w:trPr/>
        <w:tc>
          <w:tcPr>
            <w:tcW w:w="1464"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Sagar A. Patel</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706120" cy="941705"/>
                  <wp:effectExtent l="0" t="0" r="0" b="0"/>
                  <wp:docPr id="8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0" descr=""/>
                          <pic:cNvPicPr>
                            <a:picLocks noChangeAspect="1" noChangeArrowheads="1"/>
                          </pic:cNvPicPr>
                        </pic:nvPicPr>
                        <pic:blipFill>
                          <a:blip r:embed="rId41"/>
                          <a:stretch>
                            <a:fillRect/>
                          </a:stretch>
                        </pic:blipFill>
                        <pic:spPr bwMode="auto">
                          <a:xfrm>
                            <a:off x="0" y="0"/>
                            <a:ext cx="706120" cy="941705"/>
                          </a:xfrm>
                          <a:prstGeom prst="rect">
                            <a:avLst/>
                          </a:prstGeom>
                        </pic:spPr>
                      </pic:pic>
                    </a:graphicData>
                  </a:graphic>
                </wp:inline>
              </w:drawing>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60</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2016</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Nominating / Corporate Governance</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Ronin Equity Partners</w:t>
            </w:r>
          </w:p>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09" w:type="dxa"/>
            <w:tcBorders>
              <w:top w:val="single" w:sz="2" w:space="0" w:color="FFCD00"/>
              <w:left w:val="single" w:sz="2" w:space="0" w:color="FFCD00"/>
            </w:tcBorders>
            <w:tcMar>
              <w:top w:w="28" w:type="dxa"/>
              <w:left w:w="28" w:type="dxa"/>
            </w:tcMar>
            <w:vAlign w:val="center"/>
          </w:tcPr>
          <w:p>
            <w:pPr>
              <w:pStyle w:val="TableContents"/>
              <w:bidi w:val="0"/>
              <w:spacing w:before="0" w:after="0"/>
              <w:ind w:left="0" w:right="0" w:hanging="0"/>
              <w:jc w:val="left"/>
              <w:rPr/>
            </w:pPr>
            <w:r>
              <w:rPr/>
              <w:t>​</w:t>
            </w:r>
          </w:p>
        </w:tc>
        <w:tc>
          <w:tcPr>
            <w:tcW w:w="6442"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0" w:hanging="0"/>
              <w:jc w:val="both"/>
              <w:rPr>
                <w:rFonts w:ascii="Arial;Helvetica;sans-serif" w:hAnsi="Arial;Helvetica;sans-serif"/>
                <w:sz w:val="18"/>
              </w:rPr>
            </w:pPr>
            <w:r>
              <w:rPr>
                <w:rFonts w:ascii="Arial;Helvetica;sans-serif" w:hAnsi="Arial;Helvetica;sans-serif"/>
                <w:sz w:val="18"/>
              </w:rPr>
              <w:t>Mr. Patel is self-employed since October 2022, consulting in the area of Aerospace and Defense M&amp;A projects. Mr. Patel is a Board Member and Operating Advisory of Ronin Equity Partners. Mr. Patel is an Advisor and Equity Investor of Jeh Aerospace Inc. Mr. Patel is the retired Group President, Engine Systems for Woodward, Inc., a manufacturer and service provider of control solutions for the aerospace and industrial markets, a position he held from 2021 through October 2022. He joined Woodward, Inc. in June 2011 as President Aircraft Turbine Systems and in 2019 became the Business Unit President, Fuel Systems and Controls for Woodward. In January 2020 he became Business Unit President, Aerospace After market and Hydraulic Systems through 2021. Before joining Woodward, Mr. Patel worked at General Electric, where he last served as President, Mechanical Systems, GE Aviation in Cincinnati, Ohio. At GE’s Aviation and Transportation businesses, Mr. Patel held roles with increasing responsibilities in engineering, operations, services, and P&amp;L management. Earlier in his career, he worked for a utility company in India for three years. Mr. Patel served as Chairman of the Rockford Area Economic Development Council (RAEDC) in Rockford, Illinois, in addition to serving on the Illinois Governor’s Innovation Advisory Council. Mr. Patel holds a Master’s degree in electrical engineering from the University of Pittsburgh and a Bachelor’s degree in Controls and Instrumentation Engineering from Gujarat University in India.</w:t>
            </w:r>
          </w:p>
        </w:tc>
        <w:tc>
          <w:tcPr>
            <w:tcW w:w="219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464"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right w:val="single" w:sz="2" w:space="0" w:color="FFCD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6442" w:type="dxa"/>
            <w:tcBorders>
              <w:left w:val="single" w:sz="2" w:space="0" w:color="FFCD00"/>
              <w:bottom w:val="single" w:sz="2" w:space="0" w:color="FFCD00"/>
            </w:tcBorders>
            <w:tcMar>
              <w:left w:w="28" w:type="dxa"/>
              <w:bottom w:w="28" w:type="dxa"/>
            </w:tcMar>
            <w:vAlign w:val="center"/>
          </w:tcPr>
          <w:p>
            <w:pPr>
              <w:pStyle w:val="TableContents"/>
              <w:bidi w:val="0"/>
              <w:spacing w:before="0" w:after="0"/>
              <w:ind w:left="0" w:right="0" w:hanging="0"/>
              <w:jc w:val="left"/>
              <w:rPr/>
            </w:pPr>
            <w:r>
              <w:rPr/>
              <w:t>​</w:t>
            </w:r>
          </w:p>
        </w:tc>
        <w:tc>
          <w:tcPr>
            <w:tcW w:w="2190"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Mr. Patel has more than 30 years’ experience in the aerospace, transportation and energy industries, bringing to our Board extensive experience in product and advanced manufacturing innovation, global operations and strategic growth areas.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12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1" descr=""/>
                    <pic:cNvPicPr>
                      <a:picLocks noChangeAspect="1" noChangeArrowheads="1"/>
                    </pic:cNvPicPr>
                  </pic:nvPicPr>
                  <pic:blipFill>
                    <a:blip r:embed="rId4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PROPOSAL I. Election of Directors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30"/>
        <w:gridCol w:w="109"/>
        <w:gridCol w:w="5501"/>
        <w:gridCol w:w="3065"/>
      </w:tblGrid>
      <w:tr>
        <w:trPr/>
        <w:tc>
          <w:tcPr>
            <w:tcW w:w="1530"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Paul Sternlieb</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719455" cy="881380"/>
                  <wp:effectExtent l="0" t="0" r="0" b="0"/>
                  <wp:docPr id="8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2" descr=""/>
                          <pic:cNvPicPr>
                            <a:picLocks noChangeAspect="1" noChangeArrowheads="1"/>
                          </pic:cNvPicPr>
                        </pic:nvPicPr>
                        <pic:blipFill>
                          <a:blip r:embed="rId43"/>
                          <a:stretch>
                            <a:fillRect/>
                          </a:stretch>
                        </pic:blipFill>
                        <pic:spPr bwMode="auto">
                          <a:xfrm>
                            <a:off x="0" y="0"/>
                            <a:ext cx="719455" cy="881380"/>
                          </a:xfrm>
                          <a:prstGeom prst="rect">
                            <a:avLst/>
                          </a:prstGeom>
                        </pic:spPr>
                      </pic:pic>
                    </a:graphicData>
                  </a:graphic>
                </wp:inline>
              </w:drawing>
            </w:r>
          </w:p>
          <w:p>
            <w:pPr>
              <w:pStyle w:val="TableContents"/>
              <w:bidi w:val="0"/>
              <w:spacing w:before="4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54</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2023</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Enerpac Tool Group</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Directorships:</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Children’s Wisconsin</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Metropolitan Milwaukee Association of Commerce</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Manufacturers Alliance of Productivity and Innovation</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09" w:type="dxa"/>
            <w:tcBorders>
              <w:top w:val="single" w:sz="2" w:space="0" w:color="FFCD00"/>
              <w:left w:val="single" w:sz="2" w:space="0" w:color="FFCD00"/>
            </w:tcBorders>
            <w:tcMar>
              <w:top w:w="28" w:type="dxa"/>
              <w:left w:w="28" w:type="dxa"/>
            </w:tcMar>
            <w:vAlign w:val="center"/>
          </w:tcPr>
          <w:p>
            <w:pPr>
              <w:pStyle w:val="TableContents"/>
              <w:bidi w:val="0"/>
              <w:spacing w:before="0" w:after="0"/>
              <w:ind w:left="0" w:right="0" w:hanging="0"/>
              <w:jc w:val="left"/>
              <w:rPr/>
            </w:pPr>
            <w:r>
              <w:rPr/>
              <w:t>​</w:t>
            </w:r>
          </w:p>
        </w:tc>
        <w:tc>
          <w:tcPr>
            <w:tcW w:w="5501"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0" w:hanging="0"/>
              <w:jc w:val="both"/>
              <w:rPr>
                <w:rFonts w:ascii="Arial;Helvetica;sans-serif" w:hAnsi="Arial;Helvetica;sans-serif"/>
                <w:sz w:val="18"/>
              </w:rPr>
            </w:pPr>
            <w:r>
              <w:rPr>
                <w:rFonts w:ascii="Arial;Helvetica;sans-serif" w:hAnsi="Arial;Helvetica;sans-serif"/>
                <w:sz w:val="18"/>
              </w:rPr>
              <w:t>Mr. Sternlieb is the President &amp; CEO and a member of the Board of Directors of Enerpac Tool Group, effective October 2021. Before joining Enerpac Tool Group, he served as EVP &amp; President, Protein at JBT Corporation from 2017 to 2021. Prior to this, Mr. Sternlieb was Group President, Global Cooking Equipment within the Food Equipment Group segment of Illinois Tool Works from 2014 to 2017; and Vice President &amp; General Manager with Danaher from 2011 to 2014, where he led a division within the industrial technologies segment. Prior to these roles, Mr. Sternlieb held senior marketing and strategy positions at H.J. Heinz, in both the US and Europe, and he was also an Engagement Manager with McKinsey &amp; Company where he led marketing and growth strategy projects for clients in both the US and Europe. Mr. Sternlieb holds dual Bachelor’s degrees, in Economics and Computer Science, from the University of Pennsylvania. He received his MBA from the Wharton School, where he graduated as a Palmer Scholar.</w:t>
            </w:r>
          </w:p>
        </w:tc>
        <w:tc>
          <w:tcPr>
            <w:tcW w:w="306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30"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right w:val="single" w:sz="2" w:space="0" w:color="FFCD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5501" w:type="dxa"/>
            <w:tcBorders>
              <w:left w:val="single" w:sz="2" w:space="0" w:color="FFCD00"/>
              <w:bottom w:val="single" w:sz="2" w:space="0" w:color="FFCD00"/>
            </w:tcBorders>
            <w:tcMar>
              <w:left w:w="28" w:type="dxa"/>
              <w:bottom w:w="28" w:type="dxa"/>
            </w:tcMar>
            <w:vAlign w:val="center"/>
          </w:tcPr>
          <w:p>
            <w:pPr>
              <w:pStyle w:val="TableContents"/>
              <w:bidi w:val="0"/>
              <w:spacing w:before="0" w:after="0"/>
              <w:ind w:left="0" w:right="0" w:hanging="0"/>
              <w:jc w:val="left"/>
              <w:rPr/>
            </w:pPr>
            <w:r>
              <w:rPr/>
              <w:t>​</w:t>
            </w:r>
          </w:p>
        </w:tc>
        <w:tc>
          <w:tcPr>
            <w:tcW w:w="3065"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Mr. Sternlieb brings extensive operational and international experience to the Board, as a sitting President and CEO of an industrial manufacturing company. He has an established record of using a systematic approach to delivering growth and margin expansion at industrial businesses. He provides strategic insight and valuable perspective to our Board and is an “audit committee financial expert” based on his relevant experience with financial and accounting matters.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08"/>
        <w:gridCol w:w="109"/>
        <w:gridCol w:w="6505"/>
        <w:gridCol w:w="2083"/>
      </w:tblGrid>
      <w:tr>
        <w:trPr/>
        <w:tc>
          <w:tcPr>
            <w:tcW w:w="1508" w:type="dxa"/>
            <w:vMerge w:val="restart"/>
            <w:tcBorders/>
            <w:shd w:fill="E5E5E5" w:val="clear"/>
            <w:vAlign w:val="center"/>
          </w:tcPr>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Retiring in 2026</w:t>
            </w:r>
          </w:p>
          <w:p>
            <w:pPr>
              <w:pStyle w:val="TableContents"/>
              <w:bidi w:val="0"/>
              <w:spacing w:before="120" w:after="40"/>
              <w:ind w:left="432"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William M. Lambert</w:t>
            </w:r>
          </w:p>
          <w:p>
            <w:pPr>
              <w:pStyle w:val="TableContents"/>
              <w:bidi w:val="0"/>
              <w:spacing w:before="0" w:after="0"/>
              <w:ind w:left="432" w:right="0" w:hanging="0"/>
              <w:jc w:val="left"/>
              <w:rPr>
                <w:caps w:val="false"/>
                <w:smallCaps w:val="false"/>
                <w:color w:val="000000"/>
              </w:rPr>
            </w:pPr>
            <w:r>
              <w:rPr>
                <w:caps w:val="false"/>
                <w:smallCaps w:val="false"/>
                <w:color w:val="000000"/>
              </w:rPr>
              <w:drawing>
                <wp:inline distT="0" distB="0" distL="0" distR="0">
                  <wp:extent cx="654050" cy="914400"/>
                  <wp:effectExtent l="0" t="0" r="0" b="0"/>
                  <wp:docPr id="8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 descr=""/>
                          <pic:cNvPicPr>
                            <a:picLocks noChangeAspect="1" noChangeArrowheads="1"/>
                          </pic:cNvPicPr>
                        </pic:nvPicPr>
                        <pic:blipFill>
                          <a:blip r:embed="rId44"/>
                          <a:stretch>
                            <a:fillRect/>
                          </a:stretch>
                        </pic:blipFill>
                        <pic:spPr bwMode="auto">
                          <a:xfrm>
                            <a:off x="0" y="0"/>
                            <a:ext cx="654050" cy="914400"/>
                          </a:xfrm>
                          <a:prstGeom prst="rect">
                            <a:avLst/>
                          </a:prstGeom>
                        </pic:spPr>
                      </pic:pic>
                    </a:graphicData>
                  </a:graphic>
                </wp:inline>
              </w:drawing>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Age:</w:t>
            </w:r>
            <w:r>
              <w:rPr>
                <w:rFonts w:ascii="Arial;Helvetica;sans-serif" w:hAnsi="Arial;Helvetica;sans-serif"/>
                <w:b w:val="false"/>
                <w:i w:val="false"/>
                <w:caps w:val="false"/>
                <w:smallCaps w:val="false"/>
                <w:color w:val="000000"/>
                <w:sz w:val="18"/>
              </w:rPr>
              <w:t xml:space="preserve"> 68</w:t>
            </w:r>
          </w:p>
          <w:p>
            <w:pPr>
              <w:pStyle w:val="TableContents"/>
              <w:bidi w:val="0"/>
              <w:spacing w:before="0" w:after="0"/>
              <w:ind w:left="432"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Director since:</w:t>
            </w:r>
            <w:r>
              <w:rPr>
                <w:rFonts w:ascii="Arial;Helvetica;sans-serif" w:hAnsi="Arial;Helvetica;sans-serif"/>
                <w:b w:val="false"/>
                <w:i w:val="false"/>
                <w:caps w:val="false"/>
                <w:smallCaps w:val="false"/>
                <w:color w:val="000000"/>
                <w:sz w:val="18"/>
              </w:rPr>
              <w:t xml:space="preserve"> 2016</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Chairman of the Board</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Independent</w:t>
            </w:r>
          </w:p>
          <w:p>
            <w:pPr>
              <w:pStyle w:val="TableContents"/>
              <w:bidi w:val="0"/>
              <w:spacing w:before="0" w:after="0"/>
              <w:ind w:left="432" w:right="0" w:hanging="0"/>
              <w:jc w:val="left"/>
              <w:rPr>
                <w:caps w:val="false"/>
                <w:smallCaps w:val="false"/>
                <w:color w:val="000000"/>
              </w:rPr>
            </w:pPr>
            <w:r>
              <w:rPr>
                <w:caps w:val="false"/>
                <w:smallCaps w:val="false"/>
                <w:color w:val="000000"/>
              </w:rPr>
              <w:t>​</w:t>
            </w:r>
          </w:p>
          <w:p>
            <w:pPr>
              <w:pStyle w:val="TableContents"/>
              <w:bidi w:val="0"/>
              <w:spacing w:before="0" w:after="0"/>
              <w:ind w:left="432"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Public Company Directorships:</w:t>
            </w:r>
          </w:p>
          <w:p>
            <w:pPr>
              <w:pStyle w:val="TableContents"/>
              <w:bidi w:val="0"/>
              <w:spacing w:before="0" w:after="24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MSA Safety Incorporated</w:t>
            </w:r>
          </w:p>
        </w:tc>
        <w:tc>
          <w:tcPr>
            <w:tcW w:w="109" w:type="dxa"/>
            <w:tcBorders>
              <w:top w:val="single" w:sz="2" w:space="0" w:color="FFCD00"/>
              <w:left w:val="single" w:sz="2" w:space="0" w:color="FFCD00"/>
            </w:tcBorders>
            <w:tcMar>
              <w:top w:w="28" w:type="dxa"/>
              <w:left w:w="28" w:type="dxa"/>
            </w:tcMar>
            <w:vAlign w:val="center"/>
          </w:tcPr>
          <w:p>
            <w:pPr>
              <w:pStyle w:val="TableContents"/>
              <w:bidi w:val="0"/>
              <w:spacing w:before="0" w:after="0"/>
              <w:ind w:left="0" w:right="0" w:hanging="0"/>
              <w:jc w:val="left"/>
              <w:rPr/>
            </w:pPr>
            <w:r>
              <w:rPr/>
              <w:t>​</w:t>
            </w:r>
          </w:p>
        </w:tc>
        <w:tc>
          <w:tcPr>
            <w:tcW w:w="6505"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200"/>
              <w:ind w:left="0" w:right="0" w:hanging="0"/>
              <w:jc w:val="both"/>
              <w:rPr>
                <w:rFonts w:ascii="Arial;Helvetica;sans-serif" w:hAnsi="Arial;Helvetica;sans-serif"/>
                <w:sz w:val="18"/>
              </w:rPr>
            </w:pPr>
            <w:r>
              <w:rPr>
                <w:rFonts w:ascii="Arial;Helvetica;sans-serif" w:hAnsi="Arial;Helvetica;sans-serif"/>
                <w:sz w:val="18"/>
              </w:rPr>
              <w:t>Mr. Lambert is Chairman of the Board of Directors for Kennametal Inc., serving in this position since November 1, 2023. Mr. Lambert is a member of the Board of Directors of MSA Safety Incorporated (“MSA”), a global leader in the manufacture and supply of workplace safety products. He is the retired President and Chief Executive Officer of MSA, having served in this position from 2008 until May 2018. Mr. Lambert has been a director on MSA’s Board since 2007, holding the Chairman position from May 2015 through May 2020. He joined MSA in 1981 as a design engineer and over the years served the company in a variety of capacities of increasing responsibility. He previously served on the Board of Directors of EQT Corporation, a natural gas producer, from November 2018 through July 2019. Mr. Lambert has achieved “Fellow” status with the National Association of Corporate Directors (NACD). He holds a Bachelor’s degree in Mechanical Engineering from Penn State University and a Master’s degree in Industrial Administration from Carnegie Mellon University.</w:t>
            </w:r>
          </w:p>
        </w:tc>
        <w:tc>
          <w:tcPr>
            <w:tcW w:w="208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508" w:type="dxa"/>
            <w:vMerge w:val="continue"/>
            <w:tcBorders/>
            <w:shd w:fill="E5E5E5" w:val="clear"/>
            <w:vAlign w:val="center"/>
          </w:tcPr>
          <w:p>
            <w:pPr>
              <w:pStyle w:val="Normal"/>
              <w:bidi w:val="0"/>
              <w:jc w:val="left"/>
              <w:rPr/>
            </w:pPr>
            <w:r>
              <w:rPr/>
            </w:r>
          </w:p>
        </w:tc>
        <w:tc>
          <w:tcPr>
            <w:tcW w:w="109" w:type="dxa"/>
            <w:tcBorders>
              <w:top w:val="single" w:sz="2" w:space="0" w:color="FFCD00"/>
              <w:left w:val="single" w:sz="2" w:space="0" w:color="FFCD00"/>
              <w:bottom w:val="single" w:sz="2" w:space="0" w:color="FFCD00"/>
              <w:right w:val="single" w:sz="2" w:space="0" w:color="FFCD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6505" w:type="dxa"/>
            <w:tcBorders>
              <w:left w:val="single" w:sz="2" w:space="0" w:color="FFCD00"/>
              <w:bottom w:val="single" w:sz="2" w:space="0" w:color="FFCD00"/>
            </w:tcBorders>
            <w:tcMar>
              <w:left w:w="28" w:type="dxa"/>
              <w:bottom w:w="28" w:type="dxa"/>
            </w:tcMar>
            <w:vAlign w:val="center"/>
          </w:tcPr>
          <w:p>
            <w:pPr>
              <w:pStyle w:val="TableContents"/>
              <w:bidi w:val="0"/>
              <w:spacing w:before="0" w:after="0"/>
              <w:ind w:left="0" w:right="0" w:hanging="0"/>
              <w:jc w:val="left"/>
              <w:rPr/>
            </w:pPr>
            <w:r>
              <w:rPr/>
              <w:t>​</w:t>
            </w:r>
          </w:p>
        </w:tc>
        <w:tc>
          <w:tcPr>
            <w:tcW w:w="2083" w:type="dxa"/>
            <w:tcBorders>
              <w:top w:val="single" w:sz="2" w:space="0" w:color="FFCD00"/>
              <w:bottom w:val="single" w:sz="2" w:space="0" w:color="FFCD00"/>
              <w:right w:val="single" w:sz="2" w:space="0" w:color="FFCD00"/>
            </w:tcBorders>
            <w:tcMar>
              <w:top w:w="28" w:type="dxa"/>
              <w:bottom w:w="28" w:type="dxa"/>
              <w:right w:w="28" w:type="dxa"/>
            </w:tcMar>
            <w:vAlign w:val="center"/>
          </w:tcPr>
          <w:p>
            <w:pPr>
              <w:pStyle w:val="TableContents"/>
              <w:bidi w:val="0"/>
              <w:spacing w:before="120" w:after="40"/>
              <w:ind w:left="0" w:right="115" w:hanging="0"/>
              <w:jc w:val="both"/>
              <w:rPr>
                <w:rFonts w:ascii="Arial;Helvetica;sans-serif" w:hAnsi="Arial;Helvetica;sans-serif"/>
                <w:b/>
                <w:sz w:val="18"/>
              </w:rPr>
            </w:pPr>
            <w:r>
              <w:rPr>
                <w:rFonts w:ascii="Arial;Helvetica;sans-serif" w:hAnsi="Arial;Helvetica;sans-serif"/>
                <w:b/>
                <w:sz w:val="18"/>
              </w:rPr>
              <w:t>Qualifications:</w:t>
            </w:r>
          </w:p>
          <w:p>
            <w:pPr>
              <w:pStyle w:val="TableContents"/>
              <w:bidi w:val="0"/>
              <w:spacing w:before="0" w:after="200"/>
              <w:ind w:left="0" w:right="115" w:hanging="0"/>
              <w:jc w:val="both"/>
              <w:rPr>
                <w:rFonts w:ascii="Arial;Helvetica;sans-serif" w:hAnsi="Arial;Helvetica;sans-serif"/>
                <w:sz w:val="18"/>
              </w:rPr>
            </w:pPr>
            <w:r>
              <w:rPr>
                <w:rFonts w:ascii="Arial;Helvetica;sans-serif" w:hAnsi="Arial;Helvetica;sans-serif"/>
                <w:sz w:val="18"/>
              </w:rPr>
              <w:t>Mr. Lambert’s wealth of global experience and business acumen make an excellent contribution to our Board until his retirement on October 27, 2026.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13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8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4" descr=""/>
                    <pic:cNvPicPr>
                      <a:picLocks noChangeAspect="1" noChangeArrowheads="1"/>
                    </pic:cNvPicPr>
                  </pic:nvPicPr>
                  <pic:blipFill>
                    <a:blip r:embed="rId45"/>
                    <a:stretch>
                      <a:fillRect/>
                    </a:stretch>
                  </pic:blipFill>
                  <pic:spPr bwMode="auto">
                    <a:xfrm>
                      <a:off x="0" y="0"/>
                      <a:ext cx="6858000" cy="480695"/>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bookmarkStart w:id="22" w:name="EthicsandCorporateGovernance_133382"/>
      <w:bookmarkStart w:id="23" w:name="_3b5a6b92_e2f8_4e56_b76b_bdf0d99ffe17"/>
      <w:bookmarkEnd w:id="22"/>
      <w:bookmarkEnd w:id="23"/>
      <w:r>
        <w:rPr>
          <w:rFonts w:ascii="Arial;Helvetica;sans-serif" w:hAnsi="Arial;Helvetica;sans-serif"/>
          <w:sz w:val="20"/>
        </w:rPr>
        <w:t>Ethics and Corporate Governance</w:t>
      </w:r>
    </w:p>
    <w:p>
      <w:pPr>
        <w:pStyle w:val="TextBody"/>
        <w:bidi w:val="0"/>
        <w:spacing w:before="120" w:after="0"/>
        <w:ind w:left="0" w:right="0" w:hanging="0"/>
        <w:jc w:val="both"/>
        <w:rPr>
          <w:rFonts w:ascii="Arial;Helvetica;sans-serif" w:hAnsi="Arial;Helvetica;sans-serif"/>
          <w:sz w:val="20"/>
        </w:rPr>
      </w:pPr>
      <w:bookmarkStart w:id="24" w:name="CodeofConduct_234447"/>
      <w:bookmarkEnd w:id="24"/>
      <w:r>
        <w:rPr>
          <w:rFonts w:ascii="Arial;Helvetica;sans-serif" w:hAnsi="Arial;Helvetica;sans-serif"/>
          <w:sz w:val="20"/>
        </w:rPr>
        <w:t>Code of Conduct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All of our directors, officers and employees, including our Chairman, Chief Executive Officer, Chief Financial Officer and Corporate Controller, must strictly adhere to our Code of Conduct (sometimes referred to as the “Code”).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Code is designed to:</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Proactively promote ethical behavior;</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Protect our valued reputation and the reputations of our directors, officers and employees;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Guide all employees to act as good corporate citizens around the world; and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Continue to demonstrate that we, and the individuals we employ, can be successful while maintaining the values which have served us well over the years.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We view violations of the Code very seriously. Personal consequences for violations can be severe and can include termination and/or legal action. Directors, officers and employees who know of or suspect a violation of the Code must report the matter to us promptly. Any of these individuals can report a concern or potential violation of the Code: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By approaching or telephoning such person’s immediate supervisor or manager, another supervisor or manager, such person’s local Human Resource professional, the Office of the General Counsel or the Office of Ethics and Compliance;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In writing directed to Kennametal Inc., Attention: Vice President, Secretary and General Counsel, 525 William Penn Place, Suite 3300, Pittsburgh, Pennsylvania 15219 or by email: k-corp.ethics@kennametal.com;</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By calling the Office of Ethics and Compliance at 412-248-8275;</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By calling the Company’s toll-free, third-party managed, HELPLINE (1-877-781-7319). The HELPLINE is accessible twenty-four (24) hours a day. The HELPLINE may be used on a confidential and anonymous basis (where allowed by law); or</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By accessing the Company’s web-based HELPLINE portal accessible at the following link: kennametal.ethicspoint.com.</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Code is posted on our website at www.kennametal.com on the “Ethics and Compliance” page, which is accessible under the “About Us” tab. We will disclose any future amendments to the Code that relate to our directors or executive officers on our website, as well as any waivers of the Code that relate to directors and executive officers.</w:t>
      </w:r>
    </w:p>
    <w:p>
      <w:pPr>
        <w:pStyle w:val="TextBody"/>
        <w:bidi w:val="0"/>
        <w:spacing w:before="120" w:after="0"/>
        <w:ind w:left="0" w:right="0" w:hanging="0"/>
        <w:jc w:val="both"/>
        <w:rPr>
          <w:rFonts w:ascii="Arial;Helvetica;sans-serif" w:hAnsi="Arial;Helvetica;sans-serif"/>
          <w:sz w:val="20"/>
        </w:rPr>
      </w:pPr>
      <w:bookmarkStart w:id="25" w:name="CorporateGovernance_996604"/>
      <w:bookmarkEnd w:id="25"/>
      <w:r>
        <w:rPr>
          <w:rFonts w:ascii="Arial;Helvetica;sans-serif" w:hAnsi="Arial;Helvetica;sans-serif"/>
          <w:sz w:val="20"/>
        </w:rPr>
        <w:t>Corporate Governance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Our Board of Directors adopted the Kennametal Inc. Corporate Governance Guidelines (the “Guidelines”) to assist the Board in the exercise of its duties and responsibilities and to serve the best interests of the Company. The Guidelines reflect the Board’s commitment to monitoring the effectiveness of policy and decision-making both at the Board and management levels.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 complete copy of the Guidelines is available on our website at www.kennametal.com on the “Corporate Governance” page, which is accessible under the “Investor Relations” tab. Any changes to the Guidelines in the future will also be posted on our website. The following is a summary that provides highlights of our Guidelines and many related corporate governance matters: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Selection of New Director Candidates and Criteria for Board Membership</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Kennametal believes that the Board should encompass a range of talent, skill, breadth of backgrounds and expertise that enables it to provide sound guidance with respect to our operations and interests. Board nominees are identified, screened and recommended by the Nominating/Corporate Governance Committee and approved by the full Board. The Nominating/Corporate Governance Committee evaluates and ultimately selects director nominees based on a number of criteria, including independence, integrity, range of perspectives, business and industry experience, areas of expertise, ability to exercise sound judgment in areas relevant to our businesses, and willingness to commit sufficient time to the Board. In addition to considering a candidate’s background and accomplishments, candidates are reviewed in the context of the current composition of the Board and the evolving needs of our businesses.</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26" w:name="_aeafec02_f1d9_41bc_8132_4e2c724f1caf"/>
      <w:bookmarkStart w:id="27" w:name="_aeafec02_f1d9_41bc_8132_4e2c724f1caf"/>
      <w:bookmarkEnd w:id="27"/>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14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8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5" descr=""/>
                    <pic:cNvPicPr>
                      <a:picLocks noChangeAspect="1" noChangeArrowheads="1"/>
                    </pic:cNvPicPr>
                  </pic:nvPicPr>
                  <pic:blipFill>
                    <a:blip r:embed="rId46"/>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Nominating/Corporate Governance Committee strives to nominate directors with a variety of complementary skills so that, as a group, the Board will possess the appropriate talent, skills and expertise to oversee the Company’s businesses.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Although the Nominating/Corporate Governance Committee does not have a formal policy with respect to consideration of varied backgrounds in identifying director candidates, as noted above, a wide range of perspectives is one of the many important factors considered in any evaluation of a director or director nominee. The Nominating/Corporate Governance Committee believes that in this context the term “diversity” encompasses a broad array of personal characteristics, including traditional concepts such as age, gender, race and ethnic/demographic background. Equally important to any evaluation of diversity, however, are characteristics such as geographic origin and exposure, skills and training, education, viewpoint, industry exposure and professional experience. The Nominating/Corporate Governance Committee recognizes that a mix of experiences and viewpoints of all types can bring distinctive skills, perspectives and experiences to the Board.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Nominating/Corporate Governance Committee will consider any director candidate nominated by a shareowner in accordance with our By-Laws and applicable law. For further information on shareowner nominating procedures, please refer to the response to the question “What are the procedures for submitting a shareowner proposal or nomination for the 2026 Annual Meeting?” under the “General Information” section of this Proxy Statement.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All Board members are expected to ensure that other existing and planned future commitments do not materially interfere with their service as a director of the Company.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Board Composition and Independence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 majority of Board members must qualify as independent directors under the listing standards of the New York Stock Exchange (“NYSE”), the rules and regulations of the Securities and Exchange Commission (the “SEC”) and the requirements of any other applicable regulatory authority. Currently, Mr. Chowbey, our President and CEO, is the only director on our Board who is not independent.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Only those directors who the Board affirmatively determines have no material relationship with the Company, either directly or indirectly, will be considered independent directors. The Board’s determination is based on the requirements for independence set forth under the listing standards of the NYSE and those of any other applicable regulatory authority and additional qualifications set forth in the Guidelines regarding:</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Indebtedness of the director, or his or her immediate family members or affiliates, to the Company;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Indebtedness of the Company to affiliates of the director; and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 director’s relationship with charitable organizations.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 xml:space="preserve">In June and July 2026, our management compiled and summarized our directors’ responses to a questionnaire asking them to disclose any relationships they (or any of their immediate family members or affiliates) have with the Company and any other potential conflicts of interest. Their responses, along with materials provided by management related to transactions, relationships or arrangements between the Company and the directors or parties related to the directors, were presented to the Nominating/Corporate Governance Committee for its review and consideration. The Nominating/Corporate Governance Committee determined that none of our non-employee directors, has had during the last three years (i) any of the relationships described above; or (ii) any other material relationship with the Company that would compromise his or her independence under the listing standards of the NYSE, the rules and regulations of the SEC and/or the requirements set forth in our Guidelines. The table below includes a description of the transactions, relationships or arrangements considered by the Nominating/Corporate Governance Committee in reaching its determination. The Nominating/Corporate Governance Committee presented its findings to the Board at its July 2026 meeting. Based upon the conclusions and recommendations of the Nominating/Corporate Governance Committee, the Board determined that all non-employee </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15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8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6" descr=""/>
                    <pic:cNvPicPr>
                      <a:picLocks noChangeAspect="1" noChangeArrowheads="1"/>
                    </pic:cNvPicPr>
                  </pic:nvPicPr>
                  <pic:blipFill>
                    <a:blip r:embed="rId47"/>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directors then considered are independent, and that all of the members of the Audit, Compensation and Human Capital, and Nominating/Corporate Governance Committees also meet the independence tests referenced above.</w:t>
      </w:r>
    </w:p>
    <w:tbl>
      <w:tblPr>
        <w:tblW w:w="10205" w:type="dxa"/>
        <w:jc w:val="left"/>
        <w:tblInd w:w="0" w:type="dxa"/>
        <w:tblLayout w:type="fixed"/>
        <w:tblCellMar>
          <w:top w:w="0" w:type="dxa"/>
          <w:left w:w="0" w:type="dxa"/>
          <w:bottom w:w="0" w:type="dxa"/>
          <w:right w:w="0" w:type="dxa"/>
        </w:tblCellMar>
      </w:tblPr>
      <w:tblGrid>
        <w:gridCol w:w="1479"/>
        <w:gridCol w:w="226"/>
        <w:gridCol w:w="1171"/>
        <w:gridCol w:w="226"/>
        <w:gridCol w:w="7103"/>
      </w:tblGrid>
      <w:tr>
        <w:trPr/>
        <w:tc>
          <w:tcPr>
            <w:tcW w:w="147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69265" cy="29210"/>
                      <wp:effectExtent l="0" t="0" r="0" b="0"/>
                      <wp:wrapNone/>
                      <wp:docPr id="90" name="Frame44"/>
                      <a:graphic xmlns:a="http://schemas.openxmlformats.org/drawingml/2006/main">
                        <a:graphicData uri="http://schemas.microsoft.com/office/word/2010/wordprocessingShape">
                          <wps:wsp>
                            <wps:cNvSpPr txBox="1"/>
                            <wps:spPr>
                              <a:xfrm>
                                <a:off x="0" y="0"/>
                                <a:ext cx="4692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1755" cy="29210"/>
                      <wp:effectExtent l="0" t="0" r="0" b="0"/>
                      <wp:wrapNone/>
                      <wp:docPr id="91" name="Frame45"/>
                      <a:graphic xmlns:a="http://schemas.openxmlformats.org/drawingml/2006/main">
                        <a:graphicData uri="http://schemas.microsoft.com/office/word/2010/wordprocessingShape">
                          <wps:wsp>
                            <wps:cNvSpPr txBox="1"/>
                            <wps:spPr>
                              <a:xfrm>
                                <a:off x="0" y="0"/>
                                <a:ext cx="71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71475" cy="29210"/>
                      <wp:effectExtent l="0" t="0" r="0" b="0"/>
                      <wp:wrapNone/>
                      <wp:docPr id="92" name="Frame46"/>
                      <a:graphic xmlns:a="http://schemas.openxmlformats.org/drawingml/2006/main">
                        <a:graphicData uri="http://schemas.microsoft.com/office/word/2010/wordprocessingShape">
                          <wps:wsp>
                            <wps:cNvSpPr txBox="1"/>
                            <wps:spPr>
                              <a:xfrm>
                                <a:off x="0" y="0"/>
                                <a:ext cx="371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1755" cy="29210"/>
                      <wp:effectExtent l="0" t="0" r="0" b="0"/>
                      <wp:wrapNone/>
                      <wp:docPr id="93" name="Frame47"/>
                      <a:graphic xmlns:a="http://schemas.openxmlformats.org/drawingml/2006/main">
                        <a:graphicData uri="http://schemas.microsoft.com/office/word/2010/wordprocessingShape">
                          <wps:wsp>
                            <wps:cNvSpPr txBox="1"/>
                            <wps:spPr>
                              <a:xfrm>
                                <a:off x="0" y="0"/>
                                <a:ext cx="71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10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54885" cy="29210"/>
                      <wp:effectExtent l="0" t="0" r="0" b="0"/>
                      <wp:wrapNone/>
                      <wp:docPr id="94" name="Frame48"/>
                      <a:graphic xmlns:a="http://schemas.openxmlformats.org/drawingml/2006/main">
                        <a:graphicData uri="http://schemas.microsoft.com/office/word/2010/wordprocessingShape">
                          <wps:wsp>
                            <wps:cNvSpPr txBox="1"/>
                            <wps:spPr>
                              <a:xfrm>
                                <a:off x="0" y="0"/>
                                <a:ext cx="2254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479" w:type="dxa"/>
            <w:tcBorders/>
            <w:shd w:fill="E5E5E5" w:val="clear"/>
            <w:vAlign w:val="center"/>
          </w:tcPr>
          <w:p>
            <w:pPr>
              <w:pStyle w:val="TableHeading"/>
              <w:pBdr/>
              <w:bidi w:val="0"/>
              <w:spacing w:before="120" w:after="0"/>
              <w:ind w:left="0" w:right="0" w:hanging="0"/>
              <w:jc w:val="both"/>
              <w:rPr>
                <w:rFonts w:ascii="Arial;Helvetica;sans-serif" w:hAnsi="Arial;Helvetica;sans-serif"/>
                <w:b w:val="false"/>
                <w:sz w:val="20"/>
              </w:rPr>
            </w:pPr>
            <w:r>
              <w:rPr>
                <w:rFonts w:ascii="Arial;Helvetica;sans-serif" w:hAnsi="Arial;Helvetica;sans-serif"/>
                <w:b w:val="false"/>
                <w:sz w:val="20"/>
              </w:rPr>
              <w:t>Name</w:t>
            </w:r>
          </w:p>
        </w:tc>
        <w:tc>
          <w:tcPr>
            <w:tcW w:w="226" w:type="dxa"/>
            <w:tcBorders/>
            <w:shd w:fill="E5E5E5" w:val="clear"/>
            <w:vAlign w:val="center"/>
          </w:tcPr>
          <w:p>
            <w:pPr>
              <w:pStyle w:val="TableHeading"/>
              <w:bidi w:val="0"/>
              <w:spacing w:before="120" w:after="0"/>
              <w:ind w:left="0" w:right="0" w:hanging="0"/>
              <w:jc w:val="both"/>
              <w:rPr/>
            </w:pPr>
            <w:r>
              <w:rPr/>
              <w:t>  ​</w:t>
            </w:r>
          </w:p>
        </w:tc>
        <w:tc>
          <w:tcPr>
            <w:tcW w:w="1171" w:type="dxa"/>
            <w:tcBorders/>
            <w:shd w:fill="E5E5E5" w:val="clear"/>
            <w:vAlign w:val="center"/>
          </w:tcPr>
          <w:p>
            <w:pPr>
              <w:pStyle w:val="TableHeading"/>
              <w:bidi w:val="0"/>
              <w:spacing w:before="120" w:after="0"/>
              <w:ind w:left="0" w:right="0" w:hanging="0"/>
              <w:jc w:val="both"/>
              <w:rPr>
                <w:rFonts w:ascii="Arial;Helvetica;sans-serif" w:hAnsi="Arial;Helvetica;sans-serif"/>
                <w:b w:val="false"/>
                <w:sz w:val="20"/>
              </w:rPr>
            </w:pPr>
            <w:r>
              <w:rPr>
                <w:rFonts w:ascii="Arial;Helvetica;sans-serif" w:hAnsi="Arial;Helvetica;sans-serif"/>
                <w:b w:val="false"/>
                <w:sz w:val="20"/>
              </w:rPr>
              <w:t>Independent</w:t>
            </w:r>
          </w:p>
        </w:tc>
        <w:tc>
          <w:tcPr>
            <w:tcW w:w="226" w:type="dxa"/>
            <w:tcBorders/>
            <w:shd w:fill="E5E5E5" w:val="clear"/>
            <w:vAlign w:val="center"/>
          </w:tcPr>
          <w:p>
            <w:pPr>
              <w:pStyle w:val="TableHeading"/>
              <w:bidi w:val="0"/>
              <w:spacing w:before="120" w:after="0"/>
              <w:ind w:left="0" w:right="0" w:hanging="0"/>
              <w:jc w:val="both"/>
              <w:rPr/>
            </w:pPr>
            <w:r>
              <w:rPr/>
              <w:t>  ​</w:t>
            </w:r>
          </w:p>
        </w:tc>
        <w:tc>
          <w:tcPr>
            <w:tcW w:w="7103" w:type="dxa"/>
            <w:tcBorders/>
            <w:shd w:fill="E5E5E5" w:val="clear"/>
            <w:vAlign w:val="center"/>
          </w:tcPr>
          <w:p>
            <w:pPr>
              <w:pStyle w:val="TableHeading"/>
              <w:bidi w:val="0"/>
              <w:spacing w:before="120" w:after="0"/>
              <w:ind w:left="0" w:right="0" w:hanging="0"/>
              <w:jc w:val="both"/>
              <w:rPr>
                <w:rFonts w:ascii="Arial;Helvetica;sans-serif" w:hAnsi="Arial;Helvetica;sans-serif"/>
                <w:b w:val="false"/>
                <w:sz w:val="20"/>
              </w:rPr>
            </w:pPr>
            <w:r>
              <w:rPr>
                <w:rFonts w:ascii="Arial;Helvetica;sans-serif" w:hAnsi="Arial;Helvetica;sans-serif"/>
                <w:b w:val="false"/>
                <w:sz w:val="20"/>
              </w:rPr>
              <w:t>Transactions/Relationships/Arrangements Considered</w:t>
            </w:r>
          </w:p>
        </w:tc>
      </w:tr>
      <w:tr>
        <w:trPr/>
        <w:tc>
          <w:tcPr>
            <w:tcW w:w="1479" w:type="dxa"/>
            <w:tcBorders/>
            <w:vAlign w:val="center"/>
          </w:tcPr>
          <w:p>
            <w:pPr>
              <w:pStyle w:val="TableContents"/>
              <w:pBdr/>
              <w:bidi w:val="0"/>
              <w:spacing w:before="120" w:after="0"/>
              <w:ind w:left="0" w:right="0" w:hanging="0"/>
              <w:jc w:val="both"/>
              <w:rPr/>
            </w:pPr>
            <w:r>
              <w:rPr/>
              <w:t> </w:t>
            </w:r>
          </w:p>
        </w:tc>
        <w:tc>
          <w:tcPr>
            <w:tcW w:w="1397" w:type="dxa"/>
            <w:gridSpan w:val="2"/>
            <w:tcBorders/>
            <w:vAlign w:val="center"/>
          </w:tcPr>
          <w:p>
            <w:pPr>
              <w:pStyle w:val="TableContents"/>
              <w:bidi w:val="0"/>
              <w:spacing w:before="120" w:after="0"/>
              <w:ind w:left="0" w:right="0" w:hanging="0"/>
              <w:jc w:val="both"/>
              <w:rPr/>
            </w:pPr>
            <w:r>
              <w:rPr/>
              <w:t> </w:t>
            </w:r>
          </w:p>
        </w:tc>
        <w:tc>
          <w:tcPr>
            <w:tcW w:w="7329" w:type="dxa"/>
            <w:gridSpan w:val="2"/>
            <w:tcBorders/>
            <w:vAlign w:val="center"/>
          </w:tcPr>
          <w:p>
            <w:pPr>
              <w:pStyle w:val="TableContents"/>
              <w:bidi w:val="0"/>
              <w:spacing w:before="120" w:after="0"/>
              <w:ind w:left="0" w:right="0" w:hanging="0"/>
              <w:jc w:val="both"/>
              <w:rPr/>
            </w:pPr>
            <w:r>
              <w:rPr/>
              <w:t> </w:t>
            </w:r>
          </w:p>
        </w:tc>
      </w:tr>
      <w:tr>
        <w:trPr/>
        <w:tc>
          <w:tcPr>
            <w:tcW w:w="1479" w:type="dxa"/>
            <w:tcBorders>
              <w:bottom w:val="single" w:sz="2" w:space="0" w:color="7F7F7F"/>
            </w:tcBorders>
            <w:tcMar>
              <w:bottom w:w="40" w:type="dxa"/>
            </w:tcMar>
            <w:vAlign w:val="center"/>
          </w:tcPr>
          <w:p>
            <w:pPr>
              <w:pStyle w:val="TableContents"/>
              <w:pBdr/>
              <w:bidi w:val="0"/>
              <w:spacing w:before="120" w:after="0"/>
              <w:ind w:left="0" w:right="0" w:hanging="0"/>
              <w:jc w:val="both"/>
              <w:rPr>
                <w:rFonts w:ascii="Arial;Helvetica;sans-serif" w:hAnsi="Arial;Helvetica;sans-serif"/>
                <w:sz w:val="20"/>
              </w:rPr>
            </w:pPr>
            <w:r>
              <w:rPr>
                <w:rFonts w:ascii="Arial;Helvetica;sans-serif" w:hAnsi="Arial;Helvetica;sans-serif"/>
                <w:sz w:val="20"/>
              </w:rPr>
              <w:t>Joseph Alvarado</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1479" w:type="dxa"/>
            <w:tcBorders>
              <w:bottom w:val="single" w:sz="2" w:space="0" w:color="7F7F7F"/>
            </w:tcBorders>
            <w:tcMar>
              <w:bottom w:w="40" w:type="dxa"/>
            </w:tcMar>
            <w:vAlign w:val="center"/>
          </w:tcPr>
          <w:p>
            <w:pPr>
              <w:pStyle w:val="TableContents"/>
              <w:pBdr/>
              <w:bidi w:val="0"/>
              <w:spacing w:before="120" w:after="0"/>
              <w:ind w:left="0" w:right="0" w:hanging="0"/>
              <w:jc w:val="left"/>
              <w:rPr>
                <w:rFonts w:ascii="Arial;Helvetica;sans-serif" w:hAnsi="Arial;Helvetica;sans-serif"/>
                <w:sz w:val="20"/>
              </w:rPr>
            </w:pPr>
            <w:r>
              <w:rPr>
                <w:rFonts w:ascii="Arial;Helvetica;sans-serif" w:hAnsi="Arial;Helvetica;sans-serif"/>
                <w:sz w:val="20"/>
              </w:rPr>
              <w:t>Shelley Bausch</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1479" w:type="dxa"/>
            <w:tcBorders>
              <w:bottom w:val="single" w:sz="2" w:space="0" w:color="7F7F7F"/>
            </w:tcBorders>
            <w:tcMar>
              <w:bottom w:w="40" w:type="dxa"/>
            </w:tcMar>
            <w:vAlign w:val="center"/>
          </w:tcPr>
          <w:p>
            <w:pPr>
              <w:pStyle w:val="TableContents"/>
              <w:pBdr/>
              <w:bidi w:val="0"/>
              <w:spacing w:before="120" w:after="0"/>
              <w:ind w:left="0" w:right="0" w:hanging="0"/>
              <w:jc w:val="both"/>
              <w:rPr>
                <w:rFonts w:ascii="Arial;Helvetica;sans-serif" w:hAnsi="Arial;Helvetica;sans-serif"/>
                <w:sz w:val="20"/>
              </w:rPr>
            </w:pPr>
            <w:r>
              <w:rPr>
                <w:rFonts w:ascii="Arial;Helvetica;sans-serif" w:hAnsi="Arial;Helvetica;sans-serif"/>
                <w:sz w:val="20"/>
              </w:rPr>
              <w:t>Sanjay Chowbey</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No</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r>
      <w:tr>
        <w:trPr/>
        <w:tc>
          <w:tcPr>
            <w:tcW w:w="1479" w:type="dxa"/>
            <w:tcBorders/>
            <w:vAlign w:val="center"/>
          </w:tcPr>
          <w:p>
            <w:pPr>
              <w:pStyle w:val="TableContents"/>
              <w:pBdr/>
              <w:bidi w:val="0"/>
              <w:spacing w:before="120" w:after="0"/>
              <w:ind w:left="0" w:right="0" w:hanging="0"/>
              <w:jc w:val="both"/>
              <w:rPr/>
            </w:pPr>
            <w:r>
              <w:rPr/>
              <w:t> </w:t>
            </w:r>
          </w:p>
        </w:tc>
        <w:tc>
          <w:tcPr>
            <w:tcW w:w="1397" w:type="dxa"/>
            <w:gridSpan w:val="2"/>
            <w:tcBorders/>
            <w:vAlign w:val="center"/>
          </w:tcPr>
          <w:p>
            <w:pPr>
              <w:pStyle w:val="TableContents"/>
              <w:bidi w:val="0"/>
              <w:spacing w:before="120" w:after="0"/>
              <w:ind w:left="0" w:right="0" w:hanging="0"/>
              <w:jc w:val="both"/>
              <w:rPr/>
            </w:pPr>
            <w:r>
              <w:rPr/>
              <w:t> </w:t>
            </w:r>
          </w:p>
        </w:tc>
        <w:tc>
          <w:tcPr>
            <w:tcW w:w="7329" w:type="dxa"/>
            <w:gridSpan w:val="2"/>
            <w:tcBorders/>
            <w:vAlign w:val="center"/>
          </w:tcPr>
          <w:p>
            <w:pPr>
              <w:pStyle w:val="TableContents"/>
              <w:bidi w:val="0"/>
              <w:spacing w:before="120" w:after="0"/>
              <w:ind w:left="0" w:right="0" w:hanging="0"/>
              <w:jc w:val="both"/>
              <w:rPr/>
            </w:pPr>
            <w:r>
              <w:rPr/>
              <w:t> </w:t>
            </w:r>
          </w:p>
        </w:tc>
      </w:tr>
      <w:tr>
        <w:trPr/>
        <w:tc>
          <w:tcPr>
            <w:tcW w:w="1479" w:type="dxa"/>
            <w:tcBorders>
              <w:bottom w:val="single" w:sz="2" w:space="0" w:color="7F7F7F"/>
            </w:tcBorders>
            <w:tcMar>
              <w:bottom w:w="40" w:type="dxa"/>
            </w:tcMar>
            <w:vAlign w:val="center"/>
          </w:tcPr>
          <w:p>
            <w:pPr>
              <w:pStyle w:val="TableContents"/>
              <w:bidi w:val="0"/>
              <w:spacing w:before="120" w:after="0"/>
              <w:ind w:left="0" w:right="0" w:hanging="0"/>
              <w:jc w:val="left"/>
              <w:rPr>
                <w:rFonts w:ascii="Arial;Helvetica;sans-serif" w:hAnsi="Arial;Helvetica;sans-serif"/>
                <w:sz w:val="20"/>
              </w:rPr>
            </w:pPr>
            <w:r>
              <w:rPr>
                <w:rFonts w:ascii="Arial;Helvetica;sans-serif" w:hAnsi="Arial;Helvetica;sans-serif"/>
                <w:sz w:val="20"/>
              </w:rPr>
              <w:t>Douglas T.</w:t>
              <w:br/>
              <w:t>Dietrich</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Commercial relationships between Minerals Technologies Inc. and Kennametal Inc.</w:t>
            </w:r>
          </w:p>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(Kennametal as a supplier to Minerals Technologies Inc.) — immaterial</w:t>
            </w:r>
          </w:p>
        </w:tc>
      </w:tr>
      <w:tr>
        <w:trPr/>
        <w:tc>
          <w:tcPr>
            <w:tcW w:w="1479" w:type="dxa"/>
            <w:tcBorders>
              <w:bottom w:val="single" w:sz="2" w:space="0" w:color="7F7F7F"/>
            </w:tcBorders>
            <w:tcMar>
              <w:bottom w:w="40" w:type="dxa"/>
            </w:tcMar>
            <w:vAlign w:val="center"/>
          </w:tcPr>
          <w:p>
            <w:pPr>
              <w:pStyle w:val="TableContents"/>
              <w:bidi w:val="0"/>
              <w:spacing w:before="120" w:after="0"/>
              <w:ind w:left="0" w:right="0" w:hanging="0"/>
              <w:jc w:val="left"/>
              <w:rPr>
                <w:rFonts w:ascii="Arial;Helvetica;sans-serif" w:hAnsi="Arial;Helvetica;sans-serif"/>
                <w:sz w:val="20"/>
              </w:rPr>
            </w:pPr>
            <w:r>
              <w:rPr>
                <w:rFonts w:ascii="Arial;Helvetica;sans-serif" w:hAnsi="Arial;Helvetica;sans-serif"/>
                <w:sz w:val="20"/>
              </w:rPr>
              <w:t>Richard J. Harshman</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Commercial relationships between Ameren Corporation and Kennametal Inc.</w:t>
            </w:r>
          </w:p>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(Kennametal as a supplier to Ameren Corporation) - immaterial</w:t>
            </w:r>
          </w:p>
        </w:tc>
      </w:tr>
      <w:tr>
        <w:trPr/>
        <w:tc>
          <w:tcPr>
            <w:tcW w:w="1479" w:type="dxa"/>
            <w:tcBorders>
              <w:bottom w:val="single" w:sz="2" w:space="0" w:color="7F7F7F"/>
            </w:tcBorders>
            <w:tcMar>
              <w:bottom w:w="40" w:type="dxa"/>
            </w:tcMar>
            <w:vAlign w:val="center"/>
          </w:tcPr>
          <w:p>
            <w:pPr>
              <w:pStyle w:val="TableContents"/>
              <w:bidi w:val="0"/>
              <w:spacing w:before="120" w:after="0"/>
              <w:ind w:left="0" w:right="0" w:hanging="0"/>
              <w:jc w:val="left"/>
              <w:rPr>
                <w:rFonts w:ascii="Arial;Helvetica;sans-serif" w:hAnsi="Arial;Helvetica;sans-serif"/>
                <w:sz w:val="20"/>
              </w:rPr>
            </w:pPr>
            <w:r>
              <w:rPr>
                <w:rFonts w:ascii="Arial;Helvetica;sans-serif" w:hAnsi="Arial;Helvetica;sans-serif"/>
                <w:sz w:val="20"/>
              </w:rPr>
              <w:t>Dawne Hickton</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1479" w:type="dxa"/>
            <w:tcBorders/>
            <w:vAlign w:val="center"/>
          </w:tcPr>
          <w:p>
            <w:pPr>
              <w:pStyle w:val="TableContents"/>
              <w:pBdr/>
              <w:bidi w:val="0"/>
              <w:spacing w:before="120" w:after="0"/>
              <w:ind w:left="0" w:right="0" w:hanging="0"/>
              <w:jc w:val="both"/>
              <w:rPr/>
            </w:pPr>
            <w:r>
              <w:rPr/>
              <w:t> </w:t>
            </w:r>
          </w:p>
        </w:tc>
        <w:tc>
          <w:tcPr>
            <w:tcW w:w="1397" w:type="dxa"/>
            <w:gridSpan w:val="2"/>
            <w:tcBorders/>
            <w:vAlign w:val="center"/>
          </w:tcPr>
          <w:p>
            <w:pPr>
              <w:pStyle w:val="TableContents"/>
              <w:bidi w:val="0"/>
              <w:spacing w:before="120" w:after="0"/>
              <w:ind w:left="0" w:right="0" w:hanging="0"/>
              <w:jc w:val="both"/>
              <w:rPr/>
            </w:pPr>
            <w:r>
              <w:rPr/>
              <w:t> </w:t>
            </w:r>
          </w:p>
        </w:tc>
        <w:tc>
          <w:tcPr>
            <w:tcW w:w="7329" w:type="dxa"/>
            <w:gridSpan w:val="2"/>
            <w:tcBorders/>
            <w:vAlign w:val="center"/>
          </w:tcPr>
          <w:p>
            <w:pPr>
              <w:pStyle w:val="TableContents"/>
              <w:bidi w:val="0"/>
              <w:spacing w:before="120" w:after="0"/>
              <w:ind w:left="0" w:right="0" w:hanging="0"/>
              <w:jc w:val="both"/>
              <w:rPr/>
            </w:pPr>
            <w:r>
              <w:rPr/>
              <w:t> </w:t>
            </w:r>
          </w:p>
        </w:tc>
      </w:tr>
      <w:tr>
        <w:trPr/>
        <w:tc>
          <w:tcPr>
            <w:tcW w:w="1479" w:type="dxa"/>
            <w:tcBorders>
              <w:bottom w:val="single" w:sz="2" w:space="0" w:color="7F7F7F"/>
            </w:tcBorders>
            <w:tcMar>
              <w:bottom w:w="40" w:type="dxa"/>
            </w:tcMar>
            <w:vAlign w:val="center"/>
          </w:tcPr>
          <w:p>
            <w:pPr>
              <w:pStyle w:val="TableContents"/>
              <w:bidi w:val="0"/>
              <w:spacing w:before="120" w:after="0"/>
              <w:ind w:left="0" w:right="0" w:hanging="0"/>
              <w:jc w:val="left"/>
              <w:rPr>
                <w:rFonts w:ascii="Arial;Helvetica;sans-serif" w:hAnsi="Arial;Helvetica;sans-serif"/>
                <w:sz w:val="20"/>
              </w:rPr>
            </w:pPr>
            <w:r>
              <w:rPr>
                <w:rFonts w:ascii="Arial;Helvetica;sans-serif" w:hAnsi="Arial;Helvetica;sans-serif"/>
                <w:sz w:val="20"/>
              </w:rPr>
              <w:t>William M. Lambert</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1479" w:type="dxa"/>
            <w:tcBorders/>
            <w:vAlign w:val="center"/>
          </w:tcPr>
          <w:p>
            <w:pPr>
              <w:pStyle w:val="TableContents"/>
              <w:pBdr/>
              <w:bidi w:val="0"/>
              <w:spacing w:before="120" w:after="0"/>
              <w:ind w:left="0" w:right="0" w:hanging="0"/>
              <w:jc w:val="both"/>
              <w:rPr/>
            </w:pPr>
            <w:r>
              <w:rPr/>
              <w:t> </w:t>
            </w:r>
          </w:p>
        </w:tc>
        <w:tc>
          <w:tcPr>
            <w:tcW w:w="1397" w:type="dxa"/>
            <w:gridSpan w:val="2"/>
            <w:tcBorders/>
            <w:vAlign w:val="center"/>
          </w:tcPr>
          <w:p>
            <w:pPr>
              <w:pStyle w:val="TableContents"/>
              <w:bidi w:val="0"/>
              <w:spacing w:before="120" w:after="0"/>
              <w:ind w:left="0" w:right="0" w:hanging="0"/>
              <w:jc w:val="both"/>
              <w:rPr/>
            </w:pPr>
            <w:r>
              <w:rPr/>
              <w:t> </w:t>
            </w:r>
          </w:p>
        </w:tc>
        <w:tc>
          <w:tcPr>
            <w:tcW w:w="7329" w:type="dxa"/>
            <w:gridSpan w:val="2"/>
            <w:tcBorders/>
            <w:vAlign w:val="center"/>
          </w:tcPr>
          <w:p>
            <w:pPr>
              <w:pStyle w:val="TableContents"/>
              <w:bidi w:val="0"/>
              <w:spacing w:before="120" w:after="0"/>
              <w:ind w:left="0" w:right="0" w:hanging="0"/>
              <w:jc w:val="both"/>
              <w:rPr/>
            </w:pPr>
            <w:r>
              <w:rPr/>
              <w:t> </w:t>
            </w:r>
          </w:p>
        </w:tc>
      </w:tr>
      <w:tr>
        <w:trPr/>
        <w:tc>
          <w:tcPr>
            <w:tcW w:w="1479"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Lorraine M.</w:t>
              <w:br/>
              <w:t>Martin</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Membership relationship between National Safety Council and Kennametal Inc. (Kennametal as a member of the National Safety Council) — immaterial</w:t>
            </w:r>
          </w:p>
        </w:tc>
      </w:tr>
      <w:tr>
        <w:trPr/>
        <w:tc>
          <w:tcPr>
            <w:tcW w:w="1479" w:type="dxa"/>
            <w:tcBorders/>
            <w:vAlign w:val="center"/>
          </w:tcPr>
          <w:p>
            <w:pPr>
              <w:pStyle w:val="TableContents"/>
              <w:pBdr/>
              <w:bidi w:val="0"/>
              <w:spacing w:before="120" w:after="0"/>
              <w:ind w:left="0" w:right="0" w:hanging="0"/>
              <w:jc w:val="both"/>
              <w:rPr/>
            </w:pPr>
            <w:r>
              <w:rPr/>
              <w:t> </w:t>
            </w:r>
          </w:p>
        </w:tc>
        <w:tc>
          <w:tcPr>
            <w:tcW w:w="1397" w:type="dxa"/>
            <w:gridSpan w:val="2"/>
            <w:tcBorders/>
            <w:vAlign w:val="center"/>
          </w:tcPr>
          <w:p>
            <w:pPr>
              <w:pStyle w:val="TableContents"/>
              <w:bidi w:val="0"/>
              <w:spacing w:before="120" w:after="0"/>
              <w:ind w:left="0" w:right="0" w:hanging="0"/>
              <w:jc w:val="both"/>
              <w:rPr/>
            </w:pPr>
            <w:r>
              <w:rPr/>
              <w:t> </w:t>
            </w:r>
          </w:p>
        </w:tc>
        <w:tc>
          <w:tcPr>
            <w:tcW w:w="7329" w:type="dxa"/>
            <w:gridSpan w:val="2"/>
            <w:tcBorders/>
            <w:vAlign w:val="center"/>
          </w:tcPr>
          <w:p>
            <w:pPr>
              <w:pStyle w:val="TableContents"/>
              <w:bidi w:val="0"/>
              <w:spacing w:before="120" w:after="0"/>
              <w:ind w:left="0" w:right="0" w:hanging="0"/>
              <w:jc w:val="both"/>
              <w:rPr/>
            </w:pPr>
            <w:r>
              <w:rPr/>
              <w:t> </w:t>
            </w:r>
          </w:p>
        </w:tc>
      </w:tr>
      <w:tr>
        <w:trPr/>
        <w:tc>
          <w:tcPr>
            <w:tcW w:w="1479" w:type="dxa"/>
            <w:tcBorders>
              <w:bottom w:val="single" w:sz="2" w:space="0" w:color="7F7F7F"/>
            </w:tcBorders>
            <w:tcMar>
              <w:bottom w:w="40" w:type="dxa"/>
            </w:tcMar>
            <w:vAlign w:val="center"/>
          </w:tcPr>
          <w:p>
            <w:pPr>
              <w:pStyle w:val="TableContents"/>
              <w:pBdr/>
              <w:bidi w:val="0"/>
              <w:spacing w:before="120" w:after="0"/>
              <w:ind w:left="0" w:right="0" w:hanging="0"/>
              <w:jc w:val="both"/>
              <w:rPr>
                <w:rFonts w:ascii="Arial;Helvetica;sans-serif" w:hAnsi="Arial;Helvetica;sans-serif"/>
                <w:sz w:val="20"/>
              </w:rPr>
            </w:pPr>
            <w:r>
              <w:rPr>
                <w:rFonts w:ascii="Arial;Helvetica;sans-serif" w:hAnsi="Arial;Helvetica;sans-serif"/>
                <w:sz w:val="20"/>
              </w:rPr>
              <w:t>Sagar A. Patel</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1479" w:type="dxa"/>
            <w:tcBorders/>
            <w:vAlign w:val="center"/>
          </w:tcPr>
          <w:p>
            <w:pPr>
              <w:pStyle w:val="TableContents"/>
              <w:pBdr/>
              <w:bidi w:val="0"/>
              <w:spacing w:before="120" w:after="0"/>
              <w:ind w:left="0" w:right="0" w:hanging="0"/>
              <w:jc w:val="both"/>
              <w:rPr/>
            </w:pPr>
            <w:r>
              <w:rPr/>
              <w:t> </w:t>
            </w:r>
          </w:p>
        </w:tc>
        <w:tc>
          <w:tcPr>
            <w:tcW w:w="1397" w:type="dxa"/>
            <w:gridSpan w:val="2"/>
            <w:tcBorders/>
            <w:vAlign w:val="center"/>
          </w:tcPr>
          <w:p>
            <w:pPr>
              <w:pStyle w:val="TableContents"/>
              <w:bidi w:val="0"/>
              <w:spacing w:before="120" w:after="0"/>
              <w:ind w:left="0" w:right="0" w:hanging="0"/>
              <w:jc w:val="both"/>
              <w:rPr/>
            </w:pPr>
            <w:r>
              <w:rPr/>
              <w:t> </w:t>
            </w:r>
          </w:p>
        </w:tc>
        <w:tc>
          <w:tcPr>
            <w:tcW w:w="7329" w:type="dxa"/>
            <w:gridSpan w:val="2"/>
            <w:tcBorders/>
            <w:vAlign w:val="center"/>
          </w:tcPr>
          <w:p>
            <w:pPr>
              <w:pStyle w:val="TableContents"/>
              <w:bidi w:val="0"/>
              <w:spacing w:before="120" w:after="0"/>
              <w:ind w:left="0" w:right="0" w:hanging="0"/>
              <w:jc w:val="both"/>
              <w:rPr/>
            </w:pPr>
            <w:r>
              <w:rPr/>
              <w:t> </w:t>
            </w:r>
          </w:p>
        </w:tc>
      </w:tr>
      <w:tr>
        <w:trPr/>
        <w:tc>
          <w:tcPr>
            <w:tcW w:w="1479" w:type="dxa"/>
            <w:tcBorders>
              <w:bottom w:val="single" w:sz="2" w:space="0" w:color="7F7F7F"/>
            </w:tcBorders>
            <w:tcMar>
              <w:bottom w:w="40" w:type="dxa"/>
            </w:tcMar>
            <w:vAlign w:val="center"/>
          </w:tcPr>
          <w:p>
            <w:pPr>
              <w:pStyle w:val="TableContents"/>
              <w:bidi w:val="0"/>
              <w:spacing w:before="120" w:after="0"/>
              <w:ind w:left="0" w:right="0" w:hanging="0"/>
              <w:jc w:val="left"/>
              <w:rPr>
                <w:rFonts w:ascii="Arial;Helvetica;sans-serif" w:hAnsi="Arial;Helvetica;sans-serif"/>
                <w:sz w:val="20"/>
              </w:rPr>
            </w:pPr>
            <w:r>
              <w:rPr>
                <w:rFonts w:ascii="Arial;Helvetica;sans-serif" w:hAnsi="Arial;Helvetica;sans-serif"/>
                <w:sz w:val="20"/>
              </w:rPr>
              <w:t>Paul</w:t>
              <w:br/>
              <w:t>Sternlieb</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1171"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Yes</w:t>
            </w:r>
          </w:p>
        </w:tc>
        <w:tc>
          <w:tcPr>
            <w:tcW w:w="226" w:type="dxa"/>
            <w:tcBorders>
              <w:bottom w:val="single" w:sz="2" w:space="0" w:color="7F7F7F"/>
            </w:tcBorders>
            <w:tcMar>
              <w:bottom w:w="40" w:type="dxa"/>
            </w:tcMar>
            <w:vAlign w:val="center"/>
          </w:tcPr>
          <w:p>
            <w:pPr>
              <w:pStyle w:val="TableContents"/>
              <w:bidi w:val="0"/>
              <w:spacing w:before="120" w:after="0"/>
              <w:ind w:left="0" w:right="0" w:hanging="0"/>
              <w:jc w:val="both"/>
              <w:rPr/>
            </w:pPr>
            <w:r>
              <w:rPr/>
              <w:t>  ​</w:t>
            </w:r>
          </w:p>
        </w:tc>
        <w:tc>
          <w:tcPr>
            <w:tcW w:w="7103" w:type="dxa"/>
            <w:tcBorders>
              <w:bottom w:val="single" w:sz="2" w:space="0" w:color="7F7F7F"/>
            </w:tcBorders>
            <w:tcMar>
              <w:bottom w:w="40" w:type="dxa"/>
            </w:tcMar>
            <w:vAlign w:val="center"/>
          </w:tcPr>
          <w:p>
            <w:pPr>
              <w:pStyle w:val="TableContents"/>
              <w:bidi w:val="0"/>
              <w:spacing w:before="120" w:after="0"/>
              <w:ind w:left="0" w:right="0" w:hanging="0"/>
              <w:jc w:val="both"/>
              <w:rPr>
                <w:rFonts w:ascii="Arial;Helvetica;sans-serif" w:hAnsi="Arial;Helvetica;sans-serif"/>
                <w:sz w:val="20"/>
              </w:rPr>
            </w:pPr>
            <w:r>
              <w:rPr>
                <w:rFonts w:ascii="Arial;Helvetica;sans-serif" w:hAnsi="Arial;Helvetica;sans-serif"/>
                <w:sz w:val="20"/>
              </w:rPr>
              <w:t>Commercial relationships between Enerpac Tool Group and Kennametal Inc. (Kennametal as a supplier to Enerpac Tool Group) — immaterial</w:t>
            </w:r>
          </w:p>
        </w:tc>
      </w:tr>
      <w:tr>
        <w:trPr/>
        <w:tc>
          <w:tcPr>
            <w:tcW w:w="1479" w:type="dxa"/>
            <w:tcBorders/>
            <w:vAlign w:val="center"/>
          </w:tcPr>
          <w:p>
            <w:pPr>
              <w:pStyle w:val="TableContents"/>
              <w:pBdr/>
              <w:bidi w:val="0"/>
              <w:spacing w:before="0" w:after="0"/>
              <w:ind w:left="0" w:right="0" w:hanging="0"/>
              <w:jc w:val="both"/>
              <w:rPr/>
            </w:pPr>
            <w:r>
              <w:rPr/>
              <w:t> </w:t>
            </w:r>
          </w:p>
        </w:tc>
        <w:tc>
          <w:tcPr>
            <w:tcW w:w="1397" w:type="dxa"/>
            <w:gridSpan w:val="2"/>
            <w:tcBorders/>
            <w:vAlign w:val="center"/>
          </w:tcPr>
          <w:p>
            <w:pPr>
              <w:pStyle w:val="TableContents"/>
              <w:bidi w:val="0"/>
              <w:spacing w:before="0" w:after="0"/>
              <w:ind w:left="0" w:right="0" w:hanging="0"/>
              <w:jc w:val="both"/>
              <w:rPr/>
            </w:pPr>
            <w:r>
              <w:rPr/>
              <w:t> </w:t>
            </w:r>
          </w:p>
        </w:tc>
        <w:tc>
          <w:tcPr>
            <w:tcW w:w="7329" w:type="dxa"/>
            <w:gridSpan w:val="2"/>
            <w:tcBorders/>
            <w:vAlign w:val="center"/>
          </w:tcPr>
          <w:p>
            <w:pPr>
              <w:pStyle w:val="TableContents"/>
              <w:bidi w:val="0"/>
              <w:spacing w:before="0" w:after="0"/>
              <w:ind w:left="0" w:right="0" w:hanging="0"/>
              <w:jc w:val="both"/>
              <w:rPr/>
            </w:pPr>
            <w:r>
              <w:rPr/>
              <w:t> </w:t>
            </w:r>
          </w:p>
        </w:tc>
      </w:tr>
      <w:tr>
        <w:trPr/>
        <w:tc>
          <w:tcPr>
            <w:tcW w:w="1479" w:type="dxa"/>
            <w:tcBorders/>
            <w:vAlign w:val="center"/>
          </w:tcPr>
          <w:p>
            <w:pPr>
              <w:pStyle w:val="TableContents"/>
              <w:pBdr/>
              <w:bidi w:val="0"/>
              <w:spacing w:before="0" w:after="0"/>
              <w:ind w:left="0" w:right="0" w:hanging="0"/>
              <w:jc w:val="both"/>
              <w:rPr/>
            </w:pPr>
            <w:r>
              <w:rPr/>
              <w:t> </w:t>
            </w:r>
          </w:p>
        </w:tc>
        <w:tc>
          <w:tcPr>
            <w:tcW w:w="1397" w:type="dxa"/>
            <w:gridSpan w:val="2"/>
            <w:tcBorders/>
            <w:vAlign w:val="center"/>
          </w:tcPr>
          <w:p>
            <w:pPr>
              <w:pStyle w:val="TableContents"/>
              <w:bidi w:val="0"/>
              <w:spacing w:before="0" w:after="0"/>
              <w:ind w:left="0" w:right="0" w:hanging="0"/>
              <w:jc w:val="both"/>
              <w:rPr/>
            </w:pPr>
            <w:r>
              <w:rPr/>
              <w:t> </w:t>
            </w:r>
          </w:p>
        </w:tc>
        <w:tc>
          <w:tcPr>
            <w:tcW w:w="7329" w:type="dxa"/>
            <w:gridSpan w:val="2"/>
            <w:tcBorders/>
            <w:vAlign w:val="center"/>
          </w:tcPr>
          <w:p>
            <w:pPr>
              <w:pStyle w:val="TableContents"/>
              <w:bidi w:val="0"/>
              <w:spacing w:before="0" w:after="0"/>
              <w:ind w:left="0" w:right="0" w:hanging="0"/>
              <w:jc w:val="both"/>
              <w:rPr/>
            </w:pPr>
            <w:r>
              <w:rPr/>
              <w:t> </w:t>
            </w:r>
          </w:p>
        </w:tc>
      </w:tr>
    </w:tbl>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Outside Board Membership</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Employee directors are required to seek and obtain the approval of the Board before accepting outside board membership. Non-management directors must advise the independent Chairman of the Board and the Chair of the Nominating/Corporate Governance Committee in advance of accepting an invitation to serve on another board. Sitting on another public company’s board should not create a conflict of interest or impair the director’s ability to provide sufficient time to carry out his or her duties as a director of the Company.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Retirement Age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In Fiscal 2026, unless otherwise determined by the Nominating/Corporate Governance Committee due to special circumstances, no director could be nominated for re-election or re-appointment to the Board if he or she would be age seventy-five (75) or older at the time of election or appointment.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Conflicts of Interest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 xml:space="preserve">Directors must avoid any action, position or interest that conflicts with an interest of the Company, or gives the appearance of conflict. We solicit information annually from directors in order to monitor potential conflicts of interest. Any potential </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16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9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7" descr=""/>
                    <pic:cNvPicPr>
                      <a:picLocks noChangeAspect="1" noChangeArrowheads="1"/>
                    </pic:cNvPicPr>
                  </pic:nvPicPr>
                  <pic:blipFill>
                    <a:blip r:embed="rId48"/>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conflict of interest must be immediately reported to the independent Chairman of the Board and the Chair of the Nominating/Corporate Governance Committee. If a director has a personal interest in a matter before the Board, the director must disclose the interest to the Board, excuse himself or herself from participation in the matter and not vote on the matter.</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Director Orientation and Continuing Education</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Each new director must participate in the Company’s orientation program, which should be conducted within two (2) months of the meeting at which the new director is elected.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Directors are encouraged to participate in continuing education programs, as appropriate, to maintain the skills necessary to perform their director duties and responsibilities. In addition, directors are encouraged to periodically visit Company facilities to better understand its operations.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Board Compensation</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In accordance with our Stock Ownership Guidelines (which are applicable to our directors, executives and key managers), directors are required to hold meaningful equity ownership positions in the Company in order to further the direct correlation of directors’ and shareowners’ economic interests. Please see “Equity Ownership by Directors” under the “Board of Directors and Board Committees” section of this Proxy Statement for additional information regarding our Stock Ownership Guidelines, as they apply to our directors.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Directors who serve on the Audit Committee, Compensation and Human Capital Committee and/or Nominating/Corporate Governance Committee do not receive any additional compensation, other than director fees and awards (including fees paid for service on Board committees).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Directors who are employees (currently only our President and CEO, Mr. Chowbey) do not receive additional cash or equity compensation for serving as directors.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Board Leadership Structure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Our By-Laws and the Guidelines give the Board the flexibility to determine whether the roles of Chief Executive Officer and Chairman of the Board should be held by the same person or by two separate individuals. When the roles of Chairman of the Board and Chief Executive Officer are combined in one individual, the Board also may designate a Lead Director to provide additional leadership and guidance to the Board. Currently, the roles of Chief Executive Officer and Chairman of the Board are separate. Based on the current Company characteristics, we determined that the leadership structure is appropriate, including for purposes of efficient and effective corporate governance.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Our independent Chairman of the Board, Mr. Lambert, sets agendas in consultation with other Board members and the CEO, and establishes Board priorities and procedures. Mr. Lambert presides over executive sessions of the non-management directors and acts as the principal liaison between the non-management directors and the CEO. Our Guidelines contain a list of the various responsibilities with which Mr. Lambert, as independent Chairman of the Board, is tasked.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In addition to the responsibilities described above, the independent Chairman of the Board also:</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Consults with the Compensation and Human Capital Committee in connection with the annual evaluation of the CEO’s performance and, together with the Chair of the Compensation and Human Capital Committee, meets with the CEO to discuss that evaluation;</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Provides feedback to the CEO with respect to the quality, quantity and timeliness of the flow of information from management to the non-management directors; and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Assists the Board and management in assuring implementation of and compliance with the Guidelines and our Code of Conduct.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Selection of Agenda Items for Board Meetings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Agendas for Board meetings are established by the independent Chairman of the Board in consultation with the Board members and the CEO. Board members are also encouraged to raise, at any Board meeting, subjects that are not on the agenda for that meeting.</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17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9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 descr=""/>
                    <pic:cNvPicPr>
                      <a:picLocks noChangeAspect="1" noChangeArrowheads="1"/>
                    </pic:cNvPicPr>
                  </pic:nvPicPr>
                  <pic:blipFill>
                    <a:blip r:embed="rId49"/>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Chair of each committee, considering recommendations of committee members and consulting with appropriate members of management, establishes the agenda for each committee meeting.</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Distribution of Board Materials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 preliminary agenda and presentation materials are distributed to the Board and committee members in advance of each meeting, to the extent practicable.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Executive Sessions of the Board/Communications with Directors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Non-management directors meet privately in regularly scheduled executive sessions without the presence of any management. The independent Chairman of the Board presides over these executive sessions.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Any interested party that wishes to communicate with the independent Chairman of the Board, CEO, non-management directors or independent directors individually or as a group may do so by: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Sending correspondence directed to our Vice President, Secretary and General Counsel, Ms. Michelle R. Keating, at the address set forth in the “General Information” section of this Proxy Statement in the response to the question “How can I contact the Company, the Board of Directors, the independent Chairman of the Board or any of the independent Directors?”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Calling the Company’s toll-free, third-party managed, HELPLINE (1-877-781-7319). The HELPLINE is accessible twenty-four (24) hours a day. The HELPLINE may be used on a confidential and anonymous basis (where allowed by law).</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Accessing the Company’s web-based HELPLINE portal accessible at the following link: kennametal.ethicspoint.com.</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We will forward any communication we receive to the appropriate director or directors as soon as practicable, except for advertisements, solicitations or other matters unrelated to the Company.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Board Access to Management and Independent Advisors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Board members have complete access to management and the Company’s outside advisors.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Board is authorized to retain, as it deems necessary and appropriate, independent advisors of its choice with respect to any issue relating to its activities.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Assessing the Performance of the Board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Board’s performance is evaluated annually to determine whether the Board and its committees are functioning effectively. The Chairman of the Board also meets with each Board member at least annually to obtain feedback regarding individual director performance, which is shared with each director during individual meetings. The Chair of the Nominating/Corporate Governance Committee conducts the same assessment annually of the independent Chairman of the Board and thereafter provides the feedback to the Chairman. The Nominating/Corporate Governance Committee oversees the overall Board evaluation process.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Board Committees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Board has three standing committees: Audit, Compensation and Human Capital, and Nominating/Corporate Governance.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Only independent directors serve on our committees. Directors serving on the Audit Committee and Compensation and Human Capital Committee must also meet the additional independence (and financial literacy qualifications for Audit Committee members), as required under the Securities Exchange Act of 1934, as amended (the “Exchange Act”), the listing standards of the NYSE and the rules and regulations of any other applicable regulatory authority.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Each committee has a written charter, which details its duties and responsibilities. The committee charters are posted on our website at www.kennametal.com on the “Corporate Governance” page, which is accessible under the “Investor Relations” tab.</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Each committee is led by a Chair, who is appointed by the Board annually, based upon the recommendation of the Nominating/Corporate Governance Committee.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Minutes of each committee meeting are provided to each Board member to assure that the Board remains fully apprised of topics discussed and actions taken by each of the committees. The Chair of each committee also regularly reports to the Board at Board meetings on committee matters.</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18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9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9" descr=""/>
                    <pic:cNvPicPr>
                      <a:picLocks noChangeAspect="1" noChangeArrowheads="1"/>
                    </pic:cNvPicPr>
                  </pic:nvPicPr>
                  <pic:blipFill>
                    <a:blip r:embed="rId50"/>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Board of Director Review and Approval of Related Person Transactions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Board is responsible for the review, approval and monitoring of transactions involving the Company and “related persons” (generally directors and executive officers or their immediate family members or entities that they may be deemed to control, or shareowners owning five percent or greater of the Company’s outstanding stock). The Nominating/Corporate Governance Committee assists the Board with the evaluation and monitoring of any of these transactions.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Board and/or the Nominating/Corporate Governance Committee must review any related person transaction that meets the minimum threshold for disclosure in the Proxy Statement under the relevant SEC rules (generally, transactions involving amounts exceeding $120,000 in which a related person has a direct or indirect material interest). The Board and/or the Nominating/Corporate Governance Committee is guided by the following parameters when considering any transaction with a related person:</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Related person transactions must be approved by the Board or the Nominating/Corporate Governance Committee, who will approve the transaction only if they determine that it is in the best interests of the Company. In considering the transaction, the Board or the Nominating/Corporate Governance Committee will consider all relevant factors, including, as applicable: (a) the Company’s business rationale for entering into the transaction; (b) the alternatives to entering into a related person transaction; (c) whether the transaction is on terms comparable to those available to third parties, or in the case of employment relationships, to employees generally; (d) the potential for the transaction to lead to an actual or apparent conflict of interest and any safeguards that may be imposed to prevent such actual or apparent conflicts; (e) the overall fairness of the transaction to the Company; and (f) if a director is involved in the transaction, whether or not the approval of the transaction would impact his or her status as independent.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Nominating/Corporate Governance Committee will periodically monitor any related person transaction to ensure that there are no changed circumstances that would render it advisable for the Company to adjust the terms of or terminate the transaction. The Nominating/Corporate Governance Committee will also periodically report at Board meetings on related person transaction matters to assure that the Board remains fully apprised of issues discussed and actions taken.</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Procedures for review, approval and monitoring of related person transactions are set forth in our Guidelines and summarized below:</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Management or the affected director or executive officer must bring the matter to the attention of the independent Chairman of the Board, the Chair of the Nominating/Corporate Governance Committee or the Vice President, Secretary and General Counsel.</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independent Chairman of the Board will determine whether the matter should be considered by the Board or by the Nominating/Corporate Governance Committee. If the independent Chairman of the Board is involved, then management or the affected director or executive officer shall consult with the Chairs of the standing committees to determine whether the matter should be reviewed by the full Board or by the Nominating/Corporate Governance Committee.</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If a director is involved in the transaction, he or she will be recused from all discussions and decisions about the transaction.</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transaction must be approved in advance whenever practicable and, if not practicable, must be ratified, amended or terminated as promptly as practicable after proper review.</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In Fiscal Year 2026, there were no related party transactions that required Board and/or Nominating/Corporate Governance Committee approval or disclosure in this proxy statement.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Formal Evaluation of the CEO</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Compensation and Human Capital Committee, together with the independent Chairman of the Board, and the rest of the non-management directors, annually evaluates the overall performance of the CEO.</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evaluation is based on objective criteria, including performance of the business, accomplishment of long-term strategic objectives and development of management.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Succession Planning</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CEO delivers a report on succession planning at least annually to the Board, which includes an assessment of senior officers and their potential to succeed the CEO and other senior management positions.</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19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9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0" descr=""/>
                    <pic:cNvPicPr>
                      <a:picLocks noChangeAspect="1" noChangeArrowheads="1"/>
                    </pic:cNvPicPr>
                  </pic:nvPicPr>
                  <pic:blipFill>
                    <a:blip r:embed="rId51"/>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Review of the Guidelines and Code of Conduct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Nominating/Corporate Governance Committee annually reviews the Guidelines and the Code of Conduct, and recommends any changes to the Board.</w:t>
      </w:r>
    </w:p>
    <w:p>
      <w:pPr>
        <w:pStyle w:val="TextBody"/>
        <w:bidi w:val="0"/>
        <w:spacing w:before="120" w:after="0"/>
        <w:ind w:left="0" w:right="0" w:hanging="0"/>
        <w:jc w:val="both"/>
        <w:rPr>
          <w:rFonts w:ascii="Arial;Helvetica;sans-serif" w:hAnsi="Arial;Helvetica;sans-serif"/>
          <w:sz w:val="20"/>
        </w:rPr>
      </w:pPr>
      <w:bookmarkStart w:id="28" w:name="TheBoardsOversightofRiskManagement_50902"/>
      <w:bookmarkEnd w:id="28"/>
      <w:r>
        <w:rPr>
          <w:rFonts w:ascii="Arial;Helvetica;sans-serif" w:hAnsi="Arial;Helvetica;sans-serif"/>
          <w:sz w:val="20"/>
        </w:rPr>
        <w:t>The Board’s Oversight of Risk Management</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Board recognizes that companies face a variety of risks, including credit risk, liquidity risk, strategic risk and operational risk. The Board believes an effective risk management system will (1) timely identify the material risks that the Company faces; (2) communicate necessary information with respect to material risks to senior executives and, as appropriate, to the Board or relevant Board committee; (3) implement appropriate and responsive risk management strategies consistent with the Company’s risk profile; and (4) integrate risk management into Company decision-making. The Board has designated the Audit Committee to take the lead in overseeing risk management. The Audit Committee makes periodic reports to the Board regarding briefings provided by management and advisors as well as the committee’s own analysis and conclusions regarding the adequacy of the Company’s risk management processes. The full Board receives an annual overview of the Company’s enterprise risk management processes, operations, material risks and uncertainties facing the Company, and the Company’s strategic and operational plans for addressing and mitigating those risks. The Board also receives quarterly updates on those top material risks to the Company. In addition to the formal risk management program, the Board encourages, and management promotes a corporate culture that incorporates risk management into the Company’s corporate strategy and day-to-day business operations. The Board continually works, with the input of our management and executive officers, to assess and analyze the most likely areas of future risk for the Company.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Prohibited Transactions</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Company’s insider trading policy includes hedging and pledging prohibitions that prohibit any director, executive officer or other corporate officer, as defined in the policy, and their family members from engaging in various transactions, including short sales of the Company’s securities and transactions in put options, call options or other derivative securities. Additionally, under the policy the Company’s directors, executive officers and corporate officers and their family members are prohibited from engaging in any hedging or monetization transactions and from pledging Company securities as collateral for a loan or holding Company securities in a margin account, in each case without the prior approval and express authorization of the Company’s General Counsel. An exception to the prohibition on pledging Company securities may be granted where an individual wishes to pledge Company securities as collateral for a loan (not including margin debt) and clearly demonstrates the financial capacity to repay the loan without resorting to the pledged securities. These policies do not apply generally to all other employees of the Company.</w:t>
      </w:r>
    </w:p>
    <w:p>
      <w:pPr>
        <w:pStyle w:val="TextBody"/>
        <w:bidi w:val="0"/>
        <w:spacing w:before="120" w:after="0"/>
        <w:ind w:left="0" w:right="0" w:hanging="0"/>
        <w:jc w:val="both"/>
        <w:rPr>
          <w:rFonts w:ascii="Arial;Helvetica;sans-serif" w:hAnsi="Arial;Helvetica;sans-serif"/>
          <w:sz w:val="20"/>
        </w:rPr>
      </w:pPr>
      <w:bookmarkStart w:id="29" w:name="EnvironmentalSocialandGovernanceReportin"/>
      <w:bookmarkEnd w:id="29"/>
      <w:r>
        <w:rPr>
          <w:rFonts w:ascii="Arial;Helvetica;sans-serif" w:hAnsi="Arial;Helvetica;sans-serif"/>
          <w:sz w:val="20"/>
        </w:rPr>
        <w:t xml:space="preserve">Corporate Responsibility Reporting </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Our seventh annual Corporate Responsibility Report (“CR Report”), was published in September 2026 for Fiscal 2026. Our CR Report is available on our Corporate Responsibility webpage at https://investors.kennametal.com/corporate-governance/corporate-responsibility. The report details our commitment to maintain robust environmental, social responsibility, and corporate governance practices in all areas of our business, and highlights the progress we continue making to enhance our performance on environmental, social, and governance matters. Our CR Report is prepared in accordance with the Sustainability Accounting Standards Board (Industrial Machinery and Goods Sustainability Accounting Standard), the four pillars of the Task Force on Climate-related Financial Disclosures, and with reference to the Global Reporting Initiative’s standards for sustainability reporting.</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During Fiscal 2026, we continued to refine our Corporate Responsibility (“CR”) strategy and further integrated that strategy into our global operating model and corporate objectives. Our executive-level Corporate Responsibility Steering Committee oversees and coordinates our CR strategy setting process, reporting, and stakeholder engagement activities. Our CR strategy and related activities are regularly reviewed with our Nominating/Corporate Governance Committee, who has oversight of the Company’s CR strategy and the CR strategy is further reviewed with the full Board as part of the overall corporate strategy review. In FY25, we conducted a double materiality assessment (DMA) and climate scenario analysis aligned with the Task Force on Climate-related Financial Disclosures (TCFD) framework to enhance our understanding of our ESG impacts and climate-related risks and opportunities and to support our assessment of evolving disclosure requirements, including California Senate Bill 261 (SB 261). The DMA report was finalized in FY26 and is available in the FY26 Corporate Responsibility Report. As we look ahead, we recognize regulatory and reporting requirements will continue to evolve. We will continue to assess the implications for our business and evaluate applicable requirements as we refine our ESG priorities, disclosures, and reporting approach.</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20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9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1" descr=""/>
                    <pic:cNvPicPr>
                      <a:picLocks noChangeAspect="1" noChangeArrowheads="1"/>
                    </pic:cNvPicPr>
                  </pic:nvPicPr>
                  <pic:blipFill>
                    <a:blip r:embed="rId5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sz w:val="20"/>
        </w:rPr>
        <w:t>HUMAN CAPITAL RESOURCES</w:t>
      </w:r>
      <w:r>
        <w:rPr>
          <w:rFonts w:ascii="Arial;Helvetica;sans-serif" w:hAnsi="Arial;Helvetica;sans-serif"/>
          <w:sz w:val="20"/>
        </w:rPr>
        <w:t xml:space="preserve"> </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i/>
          <w:sz w:val="20"/>
        </w:rPr>
        <w:t xml:space="preserve">Employee Profile. </w:t>
      </w:r>
      <w:r>
        <w:rPr>
          <w:rFonts w:ascii="Arial;Helvetica;sans-serif" w:hAnsi="Arial;Helvetica;sans-serif"/>
          <w:sz w:val="20"/>
        </w:rPr>
        <w:t>We employed 8,050 people, including approximately 8,060 full-time employees, as of June 30, 2026. Approximately 2,500 employees were located in the U.S. and 5,600 were located in other parts of the world, principally Germany, India and China. As of June 30, 2026, approximately 2,100 of our employees were represented by labor unions. We consider our labor relations to be generally good.</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i/>
          <w:sz w:val="20"/>
        </w:rPr>
        <w:t xml:space="preserve">Inclusion and Belonging. </w:t>
      </w:r>
      <w:r>
        <w:rPr>
          <w:rFonts w:ascii="Arial;Helvetica;sans-serif" w:hAnsi="Arial;Helvetica;sans-serif"/>
          <w:sz w:val="20"/>
        </w:rPr>
        <w:t>We are fully committed to inclusion and belonging (I&amp;B)</w:t>
      </w:r>
      <w:r>
        <w:rPr>
          <w:rFonts w:ascii="Arial;Helvetica;sans-serif" w:hAnsi="Arial;Helvetica;sans-serif"/>
          <w:color w:val="FF0000"/>
          <w:sz w:val="20"/>
        </w:rPr>
        <w:t xml:space="preserve"> </w:t>
      </w:r>
      <w:r>
        <w:rPr>
          <w:rFonts w:ascii="Arial;Helvetica;sans-serif" w:hAnsi="Arial;Helvetica;sans-serif"/>
          <w:sz w:val="20"/>
        </w:rPr>
        <w:t xml:space="preserve">in the workplace. We continue to deploy our strategy and the supporting infrastructure to elevate and advance I&amp;B across our global organization and instill accountability for our performance. Our I&amp;B initiatives are guided by our I&amp;B Steering Team, which was formed in fiscal 2023 and expanded in 2025. The Steering Team is led by five senior executives who are responsible for one of our I&amp;B strategic pillars – awareness, acquisition, development, community and culture. </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 xml:space="preserve">Our I&amp;B strategy is also championed by the Global Inclusion Council, which consists of cross-functional global leaders. Four regional inclusion councils covering the Americas, Asia Pacific, EMEA and India execute the strategies and provide a global perspective. We track key metrics to monitor the progress of our I&amp;B strategy and goals and to identify areas for improvement across all levels of the organization. </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As part of our awareness initiatives in 2026, we have launched the redesign of the external career website to include a section on belonging, highlighting our culture. We continued to support our Employee Resource Groups (ERGs) to foster communication, mentorship and community among diverse groups within the Company. Additionally, throughout the year, we have incorporated educational opportunities to reinforce our ongoing commitment to employee well-being and inclusion.</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i/>
          <w:sz w:val="20"/>
        </w:rPr>
        <w:t xml:space="preserve">Health and Safety. </w:t>
      </w:r>
      <w:r>
        <w:rPr>
          <w:rFonts w:ascii="Arial;Helvetica;sans-serif" w:hAnsi="Arial;Helvetica;sans-serif"/>
          <w:sz w:val="20"/>
        </w:rPr>
        <w:t>Safety, including the health of our employees and contractors, is one of our core values and a priority across our global operations. We are committed to developing a world-class health and safety culture aimed at achieving zero injuries and illnesses. The long-term vision to achieving our world-class health and safety culture is formalized and communicated in our Environmental, Health and Safety (EHS) Roadmap that consists of four focus areas – fatality and serious injury (FSI) prevention, incident prevention, leadership development and culture and environmental compliance and sustainability.</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The Company uses our EHS Management System, including an extensive list of apps, to enable streamlined collection, tracking and dissemination of key data related to our EHS standards and requirements. Along with each standard, we there is a self-assessment used to evaluate performance and develop action plans for advancing on the EHS Roadmap.</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 xml:space="preserve">In 2026, we continued to achieve positive results in proactive risk identification and closure programs which drive our culture of eliminating hazards prior to potential incidents. Our total recordable incident rate (TRIR) performance was 0.56 in 2026 compared to 0.42 in 2025. </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i/>
          <w:sz w:val="20"/>
        </w:rPr>
        <w:t xml:space="preserve">Employee Development and Training. </w:t>
      </w:r>
      <w:r>
        <w:rPr>
          <w:rFonts w:ascii="Arial;Helvetica;sans-serif" w:hAnsi="Arial;Helvetica;sans-serif"/>
          <w:sz w:val="20"/>
        </w:rPr>
        <w:t>For the Company to grow, our employees must grow and develop continuously. We offer learning and development opportunities for all employees. In 2026, this included training for senior, mid-level and emerging leaders in role- and function-specific skills, such as coaching, feedback, collaboration, performance management, process improvement and sales training. We also offered our operational employees technical training through the Kennametal Knowledge Center.</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sz w:val="20"/>
        </w:rPr>
        <w:t>Supporting our learning and development efforts is our OneTeam learning management system (LMS). Available in multiple languages, OneTeam offers more than 20,000 online courses in an easy-to-use interface. Throughout 2026, over 4,000 employees accessed the LMS and completed over 18,800 courses. Training is offered to our employees in many different formats. Although not all training hours are tracked through OneTeam, over 12,700 hours of completed training were recorded in the system during 2026.</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21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0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2" descr=""/>
                    <pic:cNvPicPr>
                      <a:picLocks noChangeAspect="1" noChangeArrowheads="1"/>
                    </pic:cNvPicPr>
                  </pic:nvPicPr>
                  <pic:blipFill>
                    <a:blip r:embed="rId5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ETHICS AND CORPORATE GOVERNANCE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i/>
          <w:sz w:val="20"/>
        </w:rPr>
        <w:t xml:space="preserve">Compensation and Benefits. </w:t>
      </w:r>
      <w:r>
        <w:rPr>
          <w:rFonts w:ascii="Arial;Helvetica;sans-serif" w:hAnsi="Arial;Helvetica;sans-serif"/>
          <w:sz w:val="20"/>
        </w:rPr>
        <w:t xml:space="preserve">The Company offers competitive compensation and benefits packages to build a qualified and motivated workforce and to meet their health and wellness needs. Our overall executive compensation philosophy is designed to attract, incentivize and retain high-performing talent. Executive compensation includes a mix of base salary, annual cash-based incentives under our Annual Incentive Plan (AIP) and our equity-based Long-Term Incentive Plan (LTIP).The AIP, which is largely based on the Company’s achievement of short-term financial and strategic goals, also includes a portion of non-financial metrics, including an individual performance component and a safety component for all executive leadership team members and other key senior leaders. </w:t>
      </w:r>
    </w:p>
    <w:p>
      <w:pPr>
        <w:pStyle w:val="TextBody"/>
        <w:bidi w:val="0"/>
        <w:spacing w:before="120" w:after="0"/>
        <w:ind w:left="0" w:right="0" w:hanging="0"/>
        <w:jc w:val="both"/>
        <w:rPr>
          <w:rFonts w:ascii="Arial;Helvetica;sans-serif" w:hAnsi="Arial;Helvetica;sans-serif"/>
          <w:sz w:val="20"/>
        </w:rPr>
      </w:pPr>
      <w:r>
        <w:rPr>
          <w:rFonts w:ascii="Arial;Helvetica;sans-serif" w:hAnsi="Arial;Helvetica;sans-serif"/>
          <w:i/>
          <w:sz w:val="20"/>
        </w:rPr>
        <w:t xml:space="preserve">Employee Engagement. </w:t>
      </w:r>
      <w:r>
        <w:rPr>
          <w:rFonts w:ascii="Arial;Helvetica;sans-serif" w:hAnsi="Arial;Helvetica;sans-serif"/>
          <w:sz w:val="20"/>
        </w:rPr>
        <w:t>To measure the effectiveness of our employee engagement strategy, we track key performance indicators such as our voluntary turnover rate. Our voluntary turnover rate was 7.5 percent in 2026 compared to 7.7 percent in 2025. We also conduct annual “Be Heard” employee engagement surveys to gather input and feedback on a wide range of categories including teamwork, inclusion and belonging, health and safety, ethical behavior and decision-making. We use the survey results, which are shared with employees, to refine employee engagement programs and develop new initiatives. In our most recent survey launched in April 2026, we had a response rate of 77 percent and showed a 3-point increase in engagement scores across our global production and professional workforce.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22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0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3" descr=""/>
                    <pic:cNvPicPr>
                      <a:picLocks noChangeAspect="1" noChangeArrowheads="1"/>
                    </pic:cNvPicPr>
                  </pic:nvPicPr>
                  <pic:blipFill>
                    <a:blip r:embed="rId54"/>
                    <a:stretch>
                      <a:fillRect/>
                    </a:stretch>
                  </pic:blipFill>
                  <pic:spPr bwMode="auto">
                    <a:xfrm>
                      <a:off x="0" y="0"/>
                      <a:ext cx="6876415" cy="474980"/>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30" w:name="BoardofDirectorsandBoardCommittees_12803"/>
      <w:bookmarkStart w:id="31" w:name="_99c41692_a334_49f5_9be5_8e8c201c467e"/>
      <w:bookmarkEnd w:id="30"/>
      <w:bookmarkEnd w:id="31"/>
      <w:r>
        <w:rPr>
          <w:rFonts w:ascii="Arial;Helvetica;sans-serif" w:hAnsi="Arial;Helvetica;sans-serif"/>
          <w:b/>
          <w:sz w:val="32"/>
        </w:rPr>
        <w:t>Board of Directors and Board Committees</w:t>
      </w:r>
    </w:p>
    <w:p>
      <w:pPr>
        <w:pStyle w:val="TextBody"/>
        <w:bidi w:val="0"/>
        <w:spacing w:before="240" w:after="120"/>
        <w:ind w:left="0" w:right="0" w:hanging="0"/>
        <w:jc w:val="left"/>
        <w:rPr>
          <w:rFonts w:ascii="Arial;Helvetica;sans-serif" w:hAnsi="Arial;Helvetica;sans-serif"/>
          <w:b/>
          <w:sz w:val="24"/>
        </w:rPr>
      </w:pPr>
      <w:bookmarkStart w:id="32" w:name="MeetingInformation_363775"/>
      <w:bookmarkEnd w:id="32"/>
      <w:r>
        <w:rPr>
          <w:rFonts w:ascii="Arial;Helvetica;sans-serif" w:hAnsi="Arial;Helvetica;sans-serif"/>
          <w:b/>
          <w:sz w:val="24"/>
        </w:rPr>
        <w:t>Meeting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Board of Directors held nine meetings during Fiscal 2026. Each director attended at least 75% of the total number of meetings of the Board and the committees on which he/she served during his or her tenure as a director. We expect our directors to attend our Annual Meeting absent exceptional circumstances. All Directors then serving on the Board attended the Annual Meeting in October 2025.</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table below shows committee membership and the number of meetings of the full Board and each committee in Fiscal 2026, adjusted to reflect current Committee composition.</w:t>
      </w:r>
    </w:p>
    <w:tbl>
      <w:tblPr>
        <w:tblW w:w="1176" w:type="dxa"/>
        <w:jc w:val="left"/>
        <w:tblInd w:w="0" w:type="dxa"/>
        <w:tblLayout w:type="fixed"/>
        <w:tblCellMar>
          <w:top w:w="28" w:type="dxa"/>
          <w:left w:w="28" w:type="dxa"/>
          <w:bottom w:w="28" w:type="dxa"/>
          <w:right w:w="28" w:type="dxa"/>
        </w:tblCellMar>
      </w:tblPr>
      <w:tblGrid>
        <w:gridCol w:w="124"/>
        <w:gridCol w:w="196"/>
        <w:gridCol w:w="8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Member</w:t>
            </w:r>
          </w:p>
        </w:tc>
      </w:tr>
    </w:tbl>
    <w:tbl>
      <w:tblPr>
        <w:tblW w:w="10205" w:type="dxa"/>
        <w:jc w:val="left"/>
        <w:tblInd w:w="0" w:type="dxa"/>
        <w:tblLayout w:type="fixed"/>
        <w:tblCellMar>
          <w:top w:w="0" w:type="dxa"/>
          <w:left w:w="0" w:type="dxa"/>
          <w:bottom w:w="0" w:type="dxa"/>
          <w:right w:w="0" w:type="dxa"/>
        </w:tblCellMar>
      </w:tblPr>
      <w:tblGrid>
        <w:gridCol w:w="2346"/>
        <w:gridCol w:w="226"/>
        <w:gridCol w:w="1909"/>
        <w:gridCol w:w="226"/>
        <w:gridCol w:w="1416"/>
        <w:gridCol w:w="226"/>
        <w:gridCol w:w="2182"/>
        <w:gridCol w:w="226"/>
        <w:gridCol w:w="1448"/>
      </w:tblGrid>
      <w:tr>
        <w:trPr/>
        <w:tc>
          <w:tcPr>
            <w:tcW w:w="234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1909"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141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2182"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1448" w:type="dxa"/>
            <w:tcBorders/>
            <w:shd w:fill="E5E5E5" w:val="clear"/>
            <w:vAlign w:val="center"/>
          </w:tcPr>
          <w:p>
            <w:pPr>
              <w:pStyle w:val="TableContents"/>
              <w:bidi w:val="0"/>
              <w:spacing w:before="0" w:after="0"/>
              <w:ind w:left="0" w:right="0" w:hanging="0"/>
              <w:jc w:val="center"/>
              <w:rPr/>
            </w:pPr>
            <w:r>
              <w:rPr/>
              <w:t>​</w:t>
            </w:r>
          </w:p>
        </w:tc>
      </w:tr>
      <w:tr>
        <w:trPr/>
        <w:tc>
          <w:tcPr>
            <w:tcW w:w="234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center"/>
              <w:rPr/>
            </w:pPr>
            <w:r>
              <w:rPr/>
              <w:t>  ​</w:t>
            </w:r>
          </w:p>
        </w:tc>
        <w:tc>
          <w:tcPr>
            <w:tcW w:w="1909" w:type="dxa"/>
            <w:tcBorders/>
            <w:shd w:fill="E5E5E5" w:val="clear"/>
            <w:vAlign w:val="center"/>
          </w:tcPr>
          <w:p>
            <w:pPr>
              <w:pStyle w:val="TableContents"/>
              <w:bidi w:val="0"/>
              <w:spacing w:before="0" w:after="0"/>
              <w:ind w:left="0" w:right="0" w:hanging="0"/>
              <w:jc w:val="center"/>
              <w:rPr/>
            </w:pPr>
            <w:r>
              <w:rPr/>
              <w:drawing>
                <wp:inline distT="0" distB="0" distL="0" distR="0">
                  <wp:extent cx="932815" cy="648970"/>
                  <wp:effectExtent l="0" t="0" r="0" b="0"/>
                  <wp:docPr id="10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4" descr=""/>
                          <pic:cNvPicPr>
                            <a:picLocks noChangeAspect="1" noChangeArrowheads="1"/>
                          </pic:cNvPicPr>
                        </pic:nvPicPr>
                        <pic:blipFill>
                          <a:blip r:embed="rId55"/>
                          <a:stretch>
                            <a:fillRect/>
                          </a:stretch>
                        </pic:blipFill>
                        <pic:spPr bwMode="auto">
                          <a:xfrm>
                            <a:off x="0" y="0"/>
                            <a:ext cx="932815" cy="648970"/>
                          </a:xfrm>
                          <a:prstGeom prst="rect">
                            <a:avLst/>
                          </a:prstGeom>
                        </pic:spPr>
                      </pic:pic>
                    </a:graphicData>
                  </a:graphic>
                </wp:inline>
              </w:drawing>
            </w:r>
            <w:r>
              <w:rPr>
                <w:rFonts w:ascii="Arial;Helvetica;sans-serif" w:hAnsi="Arial;Helvetica;sans-serif"/>
                <w:b/>
                <w:sz w:val="16"/>
              </w:rPr>
              <w:br/>
              <w:t>Board</w:t>
            </w:r>
          </w:p>
        </w:tc>
        <w:tc>
          <w:tcPr>
            <w:tcW w:w="226" w:type="dxa"/>
            <w:tcBorders/>
            <w:shd w:fill="E5E5E5" w:val="clear"/>
            <w:vAlign w:val="center"/>
          </w:tcPr>
          <w:p>
            <w:pPr>
              <w:pStyle w:val="TableContents"/>
              <w:bidi w:val="0"/>
              <w:spacing w:before="0" w:after="0"/>
              <w:ind w:left="0" w:right="0" w:hanging="0"/>
              <w:jc w:val="center"/>
              <w:rPr/>
            </w:pPr>
            <w:r>
              <w:rPr/>
              <w:t>  ​</w:t>
            </w:r>
          </w:p>
        </w:tc>
        <w:tc>
          <w:tcPr>
            <w:tcW w:w="1416" w:type="dxa"/>
            <w:tcBorders/>
            <w:shd w:fill="E5E5E5" w:val="clear"/>
            <w:vAlign w:val="center"/>
          </w:tcPr>
          <w:p>
            <w:pPr>
              <w:pStyle w:val="TableContents"/>
              <w:bidi w:val="0"/>
              <w:spacing w:before="0" w:after="0"/>
              <w:ind w:left="0" w:right="0" w:hanging="0"/>
              <w:jc w:val="center"/>
              <w:rPr/>
            </w:pPr>
            <w:r>
              <w:rPr/>
              <w:drawing>
                <wp:inline distT="0" distB="0" distL="0" distR="0">
                  <wp:extent cx="831850" cy="685800"/>
                  <wp:effectExtent l="0" t="0" r="0" b="0"/>
                  <wp:docPr id="10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5" descr=""/>
                          <pic:cNvPicPr>
                            <a:picLocks noChangeAspect="1" noChangeArrowheads="1"/>
                          </pic:cNvPicPr>
                        </pic:nvPicPr>
                        <pic:blipFill>
                          <a:blip r:embed="rId56"/>
                          <a:stretch>
                            <a:fillRect/>
                          </a:stretch>
                        </pic:blipFill>
                        <pic:spPr bwMode="auto">
                          <a:xfrm>
                            <a:off x="0" y="0"/>
                            <a:ext cx="831850" cy="685800"/>
                          </a:xfrm>
                          <a:prstGeom prst="rect">
                            <a:avLst/>
                          </a:prstGeom>
                        </pic:spPr>
                      </pic:pic>
                    </a:graphicData>
                  </a:graphic>
                </wp:inline>
              </w:drawing>
            </w:r>
            <w:r>
              <w:rPr>
                <w:rFonts w:ascii="Arial;Helvetica;sans-serif" w:hAnsi="Arial;Helvetica;sans-serif"/>
                <w:b/>
                <w:sz w:val="16"/>
              </w:rPr>
              <w:br/>
              <w:t>Audit</w:t>
            </w:r>
          </w:p>
        </w:tc>
        <w:tc>
          <w:tcPr>
            <w:tcW w:w="226" w:type="dxa"/>
            <w:tcBorders/>
            <w:shd w:fill="E5E5E5" w:val="clear"/>
            <w:vAlign w:val="center"/>
          </w:tcPr>
          <w:p>
            <w:pPr>
              <w:pStyle w:val="TableContents"/>
              <w:bidi w:val="0"/>
              <w:spacing w:before="0" w:after="0"/>
              <w:ind w:left="0" w:right="0" w:hanging="0"/>
              <w:jc w:val="center"/>
              <w:rPr/>
            </w:pPr>
            <w:r>
              <w:rPr/>
              <w:t>  ​</w:t>
            </w:r>
          </w:p>
        </w:tc>
        <w:tc>
          <w:tcPr>
            <w:tcW w:w="2182" w:type="dxa"/>
            <w:tcBorders/>
            <w:shd w:fill="E5E5E5" w:val="clear"/>
            <w:vAlign w:val="center"/>
          </w:tcPr>
          <w:p>
            <w:pPr>
              <w:pStyle w:val="TableContents"/>
              <w:bidi w:val="0"/>
              <w:spacing w:before="0" w:after="0"/>
              <w:ind w:left="0" w:right="0" w:hanging="0"/>
              <w:jc w:val="center"/>
              <w:rPr/>
            </w:pPr>
            <w:r>
              <w:rPr/>
              <w:drawing>
                <wp:inline distT="0" distB="0" distL="0" distR="0">
                  <wp:extent cx="850265" cy="585470"/>
                  <wp:effectExtent l="0" t="0" r="0" b="0"/>
                  <wp:docPr id="10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6" descr=""/>
                          <pic:cNvPicPr>
                            <a:picLocks noChangeAspect="1" noChangeArrowheads="1"/>
                          </pic:cNvPicPr>
                        </pic:nvPicPr>
                        <pic:blipFill>
                          <a:blip r:embed="rId57"/>
                          <a:stretch>
                            <a:fillRect/>
                          </a:stretch>
                        </pic:blipFill>
                        <pic:spPr bwMode="auto">
                          <a:xfrm>
                            <a:off x="0" y="0"/>
                            <a:ext cx="850265" cy="585470"/>
                          </a:xfrm>
                          <a:prstGeom prst="rect">
                            <a:avLst/>
                          </a:prstGeom>
                        </pic:spPr>
                      </pic:pic>
                    </a:graphicData>
                  </a:graphic>
                </wp:inline>
              </w:drawing>
            </w:r>
            <w:r>
              <w:rPr>
                <w:rFonts w:ascii="Times New Roman;Times;serif" w:hAnsi="Times New Roman;Times;serif"/>
                <w:b/>
                <w:sz w:val="16"/>
              </w:rPr>
              <w:br/>
            </w:r>
            <w:r>
              <w:rPr>
                <w:rFonts w:ascii="Arial;Helvetica;sans-serif" w:hAnsi="Arial;Helvetica;sans-serif"/>
                <w:b/>
                <w:sz w:val="16"/>
              </w:rPr>
              <w:t>Compensation and Human Capital</w:t>
            </w:r>
          </w:p>
        </w:tc>
        <w:tc>
          <w:tcPr>
            <w:tcW w:w="226" w:type="dxa"/>
            <w:tcBorders/>
            <w:shd w:fill="E5E5E5" w:val="clear"/>
            <w:vAlign w:val="center"/>
          </w:tcPr>
          <w:p>
            <w:pPr>
              <w:pStyle w:val="TableContents"/>
              <w:bidi w:val="0"/>
              <w:spacing w:before="0" w:after="0"/>
              <w:ind w:left="0" w:right="0" w:hanging="0"/>
              <w:jc w:val="center"/>
              <w:rPr/>
            </w:pPr>
            <w:r>
              <w:rPr/>
              <w:t>  ​</w:t>
            </w:r>
          </w:p>
        </w:tc>
        <w:tc>
          <w:tcPr>
            <w:tcW w:w="1448" w:type="dxa"/>
            <w:tcBorders/>
            <w:shd w:fill="E5E5E5" w:val="clear"/>
            <w:vAlign w:val="center"/>
          </w:tcPr>
          <w:p>
            <w:pPr>
              <w:pStyle w:val="TableContents"/>
              <w:bidi w:val="0"/>
              <w:spacing w:before="0" w:after="0"/>
              <w:ind w:left="0" w:right="0" w:hanging="0"/>
              <w:jc w:val="center"/>
              <w:rPr/>
            </w:pPr>
            <w:r>
              <w:rPr/>
              <w:drawing>
                <wp:inline distT="0" distB="0" distL="0" distR="0">
                  <wp:extent cx="822960" cy="768350"/>
                  <wp:effectExtent l="0" t="0" r="0" b="0"/>
                  <wp:docPr id="10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7" descr=""/>
                          <pic:cNvPicPr>
                            <a:picLocks noChangeAspect="1" noChangeArrowheads="1"/>
                          </pic:cNvPicPr>
                        </pic:nvPicPr>
                        <pic:blipFill>
                          <a:blip r:embed="rId58"/>
                          <a:stretch>
                            <a:fillRect/>
                          </a:stretch>
                        </pic:blipFill>
                        <pic:spPr bwMode="auto">
                          <a:xfrm>
                            <a:off x="0" y="0"/>
                            <a:ext cx="822960" cy="768350"/>
                          </a:xfrm>
                          <a:prstGeom prst="rect">
                            <a:avLst/>
                          </a:prstGeom>
                        </pic:spPr>
                      </pic:pic>
                    </a:graphicData>
                  </a:graphic>
                </wp:inline>
              </w:drawing>
            </w:r>
            <w:r>
              <w:rPr>
                <w:rFonts w:ascii="Arial;Helvetica;sans-serif" w:hAnsi="Arial;Helvetica;sans-serif"/>
                <w:b/>
                <w:sz w:val="16"/>
              </w:rPr>
              <w:br/>
              <w:t>Nominating/</w:t>
              <w:br/>
              <w:t>Corporate</w:t>
              <w:br/>
              <w:t>Governance</w:t>
            </w:r>
          </w:p>
        </w:tc>
      </w:tr>
      <w:tr>
        <w:trPr/>
        <w:tc>
          <w:tcPr>
            <w:tcW w:w="234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1909"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141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2182"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center"/>
              <w:rPr/>
            </w:pPr>
            <w:r>
              <w:rPr/>
              <w:t>​</w:t>
            </w:r>
          </w:p>
        </w:tc>
        <w:tc>
          <w:tcPr>
            <w:tcW w:w="1448" w:type="dxa"/>
            <w:tcBorders/>
            <w:shd w:fill="E5E5E5" w:val="clear"/>
            <w:vAlign w:val="center"/>
          </w:tcPr>
          <w:p>
            <w:pPr>
              <w:pStyle w:val="TableContents"/>
              <w:bidi w:val="0"/>
              <w:spacing w:before="0" w:after="0"/>
              <w:ind w:left="0" w:right="0" w:hanging="0"/>
              <w:jc w:val="center"/>
              <w:rPr/>
            </w:pPr>
            <w:r>
              <w:rPr/>
              <w:t>​</w:t>
            </w:r>
          </w:p>
        </w:tc>
      </w:tr>
      <w:tr>
        <w:trPr/>
        <w:tc>
          <w:tcPr>
            <w:tcW w:w="2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41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8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center"/>
              <w:rPr/>
            </w:pPr>
            <w:r>
              <w:rPr/>
              <w:t>​</w:t>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Joseph Alvarado</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0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8" descr=""/>
                          <pic:cNvPicPr>
                            <a:picLocks noChangeAspect="1" noChangeArrowheads="1"/>
                          </pic:cNvPicPr>
                        </pic:nvPicPr>
                        <pic:blipFill>
                          <a:blip r:embed="rId59"/>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0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9" descr=""/>
                          <pic:cNvPicPr>
                            <a:picLocks noChangeAspect="1" noChangeArrowheads="1"/>
                          </pic:cNvPicPr>
                        </pic:nvPicPr>
                        <pic:blipFill>
                          <a:blip r:embed="rId60"/>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Chair</w:t>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Shelley Bausch</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0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0" descr=""/>
                          <pic:cNvPicPr>
                            <a:picLocks noChangeAspect="1" noChangeArrowheads="1"/>
                          </pic:cNvPicPr>
                        </pic:nvPicPr>
                        <pic:blipFill>
                          <a:blip r:embed="rId61"/>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0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1" descr=""/>
                          <pic:cNvPicPr>
                            <a:picLocks noChangeAspect="1" noChangeArrowheads="1"/>
                          </pic:cNvPicPr>
                        </pic:nvPicPr>
                        <pic:blipFill>
                          <a:blip r:embed="rId62"/>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2" descr=""/>
                          <pic:cNvPicPr>
                            <a:picLocks noChangeAspect="1" noChangeArrowheads="1"/>
                          </pic:cNvPicPr>
                        </pic:nvPicPr>
                        <pic:blipFill>
                          <a:blip r:embed="rId63"/>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Sanjay Chowbey</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3" descr=""/>
                          <pic:cNvPicPr>
                            <a:picLocks noChangeAspect="1" noChangeArrowheads="1"/>
                          </pic:cNvPicPr>
                        </pic:nvPicPr>
                        <pic:blipFill>
                          <a:blip r:embed="rId64"/>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Douglas Dietrich</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4" descr=""/>
                          <pic:cNvPicPr>
                            <a:picLocks noChangeAspect="1" noChangeArrowheads="1"/>
                          </pic:cNvPicPr>
                        </pic:nvPicPr>
                        <pic:blipFill>
                          <a:blip r:embed="rId65"/>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Chair</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5" descr=""/>
                          <pic:cNvPicPr>
                            <a:picLocks noChangeAspect="1" noChangeArrowheads="1"/>
                          </pic:cNvPicPr>
                        </pic:nvPicPr>
                        <pic:blipFill>
                          <a:blip r:embed="rId66"/>
                          <a:stretch>
                            <a:fillRect/>
                          </a:stretch>
                        </pic:blipFill>
                        <pic:spPr bwMode="auto">
                          <a:xfrm>
                            <a:off x="0" y="0"/>
                            <a:ext cx="146050" cy="146050"/>
                          </a:xfrm>
                          <a:prstGeom prst="rect">
                            <a:avLst/>
                          </a:prstGeom>
                        </pic:spPr>
                      </pic:pic>
                    </a:graphicData>
                  </a:graphic>
                </wp:inline>
              </w:drawing>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M. Lambert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Chairman of the Board</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Lorraine M. Martin</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6" descr=""/>
                          <pic:cNvPicPr>
                            <a:picLocks noChangeAspect="1" noChangeArrowheads="1"/>
                          </pic:cNvPicPr>
                        </pic:nvPicPr>
                        <pic:blipFill>
                          <a:blip r:embed="rId67"/>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Chair</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Sagar A. Patel</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7" descr=""/>
                          <pic:cNvPicPr>
                            <a:picLocks noChangeAspect="1" noChangeArrowheads="1"/>
                          </pic:cNvPicPr>
                        </pic:nvPicPr>
                        <pic:blipFill>
                          <a:blip r:embed="rId68"/>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8" descr=""/>
                          <pic:cNvPicPr>
                            <a:picLocks noChangeAspect="1" noChangeArrowheads="1"/>
                          </pic:cNvPicPr>
                        </pic:nvPicPr>
                        <pic:blipFill>
                          <a:blip r:embed="rId69"/>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9" descr=""/>
                          <pic:cNvPicPr>
                            <a:picLocks noChangeAspect="1" noChangeArrowheads="1"/>
                          </pic:cNvPicPr>
                        </pic:nvPicPr>
                        <pic:blipFill>
                          <a:blip r:embed="rId70"/>
                          <a:stretch>
                            <a:fillRect/>
                          </a:stretch>
                        </pic:blipFill>
                        <pic:spPr bwMode="auto">
                          <a:xfrm>
                            <a:off x="0" y="0"/>
                            <a:ext cx="146050" cy="146050"/>
                          </a:xfrm>
                          <a:prstGeom prst="rect">
                            <a:avLst/>
                          </a:prstGeom>
                        </pic:spPr>
                      </pic:pic>
                    </a:graphicData>
                  </a:graphic>
                </wp:inline>
              </w:drawing>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Sternlieb</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0" descr=""/>
                          <pic:cNvPicPr>
                            <a:picLocks noChangeAspect="1" noChangeArrowheads="1"/>
                          </pic:cNvPicPr>
                        </pic:nvPicPr>
                        <pic:blipFill>
                          <a:blip r:embed="rId71"/>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drawing>
                <wp:inline distT="0" distB="0" distL="0" distR="0">
                  <wp:extent cx="146050" cy="146050"/>
                  <wp:effectExtent l="0" t="0" r="0" b="0"/>
                  <wp:docPr id="11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1" descr=""/>
                          <pic:cNvPicPr>
                            <a:picLocks noChangeAspect="1" noChangeArrowheads="1"/>
                          </pic:cNvPicPr>
                        </pic:nvPicPr>
                        <pic:blipFill>
                          <a:blip r:embed="rId72"/>
                          <a:stretch>
                            <a:fillRect/>
                          </a:stretch>
                        </pic:blipFill>
                        <pic:spPr bwMode="auto">
                          <a:xfrm>
                            <a:off x="0" y="0"/>
                            <a:ext cx="146050" cy="146050"/>
                          </a:xfrm>
                          <a:prstGeom prst="rect">
                            <a:avLst/>
                          </a:prstGeom>
                        </pic:spPr>
                      </pic:pic>
                    </a:graphicData>
                  </a:graphic>
                </wp:inline>
              </w:drawing>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pPr>
            <w:r>
              <w:rPr/>
              <w:t>​</w:t>
            </w:r>
          </w:p>
        </w:tc>
      </w:tr>
      <w:tr>
        <w:trPr/>
        <w:tc>
          <w:tcPr>
            <w:tcW w:w="234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Number of Meetings in Fiscal Year 2026</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90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9</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1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8</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8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44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6</w:t>
            </w:r>
          </w:p>
        </w:tc>
      </w:tr>
    </w:tbl>
    <w:p>
      <w:pPr>
        <w:pStyle w:val="TextBody"/>
        <w:bidi w:val="0"/>
        <w:spacing w:before="240" w:after="120"/>
        <w:ind w:left="0" w:right="0" w:hanging="0"/>
        <w:jc w:val="left"/>
        <w:rPr/>
      </w:pPr>
      <w:r>
        <w:rPr/>
        <w:t>​</w:t>
      </w:r>
    </w:p>
    <w:p>
      <w:pPr>
        <w:pStyle w:val="TextBody"/>
        <w:bidi w:val="0"/>
        <w:spacing w:before="0" w:after="120"/>
        <w:ind w:left="0" w:right="0" w:hanging="0"/>
        <w:jc w:val="left"/>
        <w:rPr>
          <w:rFonts w:ascii="Arial;Helvetica;sans-serif" w:hAnsi="Arial;Helvetica;sans-serif"/>
          <w:b/>
          <w:sz w:val="24"/>
        </w:rPr>
      </w:pPr>
      <w:bookmarkStart w:id="33" w:name="BoardCommittees_749382"/>
      <w:bookmarkEnd w:id="33"/>
      <w:r>
        <w:rPr>
          <w:rFonts w:ascii="Arial;Helvetica;sans-serif" w:hAnsi="Arial;Helvetica;sans-serif"/>
          <w:b/>
          <w:sz w:val="24"/>
        </w:rPr>
        <w:t>Board Committees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Board has three standing committees: Audit, Compensation and Human Capital and Nominating/Corporate Governance. Each member of these committees is independent under the NYSE’s listing standards, SEC regulations and the standards set forth in our Guidelines, as discussed above.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Each committee has a written charter, which details its duties and responsibilities. The current committee charters are posted on our website at www.kennametal.com on the “Corporate Governance” page, which can be found under the “Investor Relations” tab.</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23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2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2" descr=""/>
                    <pic:cNvPicPr>
                      <a:picLocks noChangeAspect="1" noChangeArrowheads="1"/>
                    </pic:cNvPicPr>
                  </pic:nvPicPr>
                  <pic:blipFill>
                    <a:blip r:embed="rId7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BOARD OF DIRECTORS AND BOARD COMMITTEES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Each committee performs an annual self-evaluation, using the roles and responsibilities outlined in its committee charter as a foundation for the review and evaluation. The Nominating/Corporate Governance Committee reviews and considers the results of each committee’s self-evaluation. The Chair of each committee also reports the results of the committee’s self-evaluation to the full Board.</w:t>
      </w:r>
    </w:p>
    <w:p>
      <w:pPr>
        <w:pStyle w:val="TextBody"/>
        <w:bidi w:val="0"/>
        <w:spacing w:before="240" w:after="120"/>
        <w:ind w:left="0" w:right="0" w:hanging="0"/>
        <w:jc w:val="left"/>
        <w:rPr>
          <w:rFonts w:ascii="Arial;Helvetica;sans-serif" w:hAnsi="Arial;Helvetica;sans-serif"/>
          <w:b/>
          <w:sz w:val="24"/>
        </w:rPr>
      </w:pPr>
      <w:bookmarkStart w:id="34" w:name="CommitteeFunctions_376041"/>
      <w:bookmarkEnd w:id="34"/>
      <w:r>
        <w:rPr>
          <w:rFonts w:ascii="Arial;Helvetica;sans-serif" w:hAnsi="Arial;Helvetica;sans-serif"/>
          <w:b/>
          <w:sz w:val="24"/>
        </w:rPr>
        <w:t>Committee Functions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Audit Committee:</w:t>
      </w:r>
      <w:r>
        <w:rPr>
          <w:rFonts w:ascii="Arial;Helvetica;sans-serif" w:hAnsi="Arial;Helvetica;sans-serif"/>
          <w:sz w:val="20"/>
        </w:rPr>
        <w:t xml:space="preserve"> The Audit Committee, established in accordance with Section 3(a)(58)(A) of the Exchange Act, assists the Board in overseeing the Company’s financial reporting process. You can find additional information about the functions of the Audit Committee under the “</w:t>
      </w:r>
      <w:r>
        <w:rPr>
          <w:rFonts w:ascii="Arial;Helvetica;sans-serif" w:hAnsi="Arial;Helvetica;sans-serif"/>
          <w:i/>
          <w:sz w:val="20"/>
        </w:rPr>
        <w:t>Audit Committee Report</w:t>
      </w:r>
      <w:r>
        <w:rPr>
          <w:rFonts w:ascii="Arial;Helvetica;sans-serif" w:hAnsi="Arial;Helvetica;sans-serif"/>
          <w:sz w:val="20"/>
        </w:rPr>
        <w:t>” section of this Proxy Statement. The Board has determined that all the members of the Audit Committee are “financially literate” and independent and that each of Messrs. Dietrich and Sternlieb, qualify as an “audit committee financial expert” as that term is defined by SEC regulations.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 xml:space="preserve">Compensation and Human Capital Committee: </w:t>
      </w:r>
      <w:r>
        <w:rPr>
          <w:rFonts w:ascii="Arial;Helvetica;sans-serif" w:hAnsi="Arial;Helvetica;sans-serif"/>
          <w:sz w:val="20"/>
        </w:rPr>
        <w:t>The Compensation and Human Capital Committee’s functions include: recommending an overall compensation philosophy to the Board; having direct authority and responsibility for matters relating to the compensation of our executive officers; overseeing the Company’s compensation policies and procedures and monitoring risks related to them; advising the Board regarding management succession; administering our equity compensation plans, cash incentive plans and deferred compensation plans; oversight of diversity, equity and inclusion; and regulatory focus on human capital management disclosures. The Compensation and Human Capital Committee has the authority under its charter to delegate any of its duties and responsibilities (or functions) to a subcommittee of the Compensation and Human Capital Committee consisting of one or more members, as appropriate. You can find additional information about the Compensation and Human Capital Committee’s functions and processes in the “</w:t>
      </w:r>
      <w:r>
        <w:rPr>
          <w:rFonts w:ascii="Arial;Helvetica;sans-serif" w:hAnsi="Arial;Helvetica;sans-serif"/>
          <w:i/>
          <w:sz w:val="20"/>
        </w:rPr>
        <w:t>Compensation Discussion and Analysis</w:t>
      </w:r>
      <w:r>
        <w:rPr>
          <w:rFonts w:ascii="Arial;Helvetica;sans-serif" w:hAnsi="Arial;Helvetica;sans-serif"/>
          <w:sz w:val="20"/>
        </w:rPr>
        <w:t>” section of this Proxy Statement.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Compensation and Human Capital Committee Interlocks and Insider Participation:</w:t>
      </w:r>
      <w:r>
        <w:rPr>
          <w:rFonts w:ascii="Arial;Helvetica;sans-serif" w:hAnsi="Arial;Helvetica;sans-serif"/>
          <w:sz w:val="20"/>
        </w:rPr>
        <w:t xml:space="preserve"> There are no Compensation and Human Capital Committee interlocks and no insider participation in compensation decisions that are required to be disclosed in this Proxy Statement. The names of the members of the Compensation and Human Capital Committee appear under the heading “</w:t>
      </w:r>
      <w:r>
        <w:rPr>
          <w:rFonts w:ascii="Arial;Helvetica;sans-serif" w:hAnsi="Arial;Helvetica;sans-serif"/>
          <w:i/>
          <w:sz w:val="20"/>
        </w:rPr>
        <w:t>Compensation and Human Capital Committee Report”</w:t>
      </w:r>
      <w:r>
        <w:rPr>
          <w:rFonts w:ascii="Arial;Helvetica;sans-serif" w:hAnsi="Arial;Helvetica;sans-serif"/>
          <w:sz w:val="20"/>
        </w:rPr>
        <w:t xml:space="preserve">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Nominating/Corporate Governance Committee:</w:t>
      </w:r>
      <w:r>
        <w:rPr>
          <w:rFonts w:ascii="Arial;Helvetica;sans-serif" w:hAnsi="Arial;Helvetica;sans-serif"/>
          <w:sz w:val="20"/>
        </w:rPr>
        <w:t xml:space="preserve"> The Nominating/Corporate Governance Committee’s functions include: ensuring that the Board is properly constituted to meet its fiduciary responsibilities; overseeing the Company’s CR strategy, initiatives, policies and disclosures; identifying and recommending qualified candidates for membership to the Board; having direct responsibility for matters relating to the compensation of our directors; and recommending directors for committee membership. The committee also takes a leadership role in shaping the Company’s corporate governance.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Nominating/Corporate Governance Committee will evaluate shareowner nominees on the same basis as all other nominees. Section 8 of our By-Laws describes the process by which shareowners may submit director nominations at an annual meeting or special meeting. Any shareowner of the Company who is entitled to vote at a meeting, who has complied with the notice procedures set forth in Section 8 may propose a director’s nomination. The procedures for a shareowner to nominate a director include, without limitation, the following requirements: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shareowner must have given timely written notice in proper form to the Vice President, Secretary and General Counsel of the Company including, without limitation, the shareowner’s name and address. The deadlines for providing notice to the Company of a proposed director nomination for our next annual meeting are set forth in our By-Laws and summarized in the response to the question “What are the procedures for submitting a shareowner proposal or nomination for the 2026 Annual Meeting?” under the “</w:t>
            </w:r>
            <w:r>
              <w:rPr>
                <w:rFonts w:ascii="Arial;Helvetica;sans-serif" w:hAnsi="Arial;Helvetica;sans-serif"/>
                <w:b w:val="false"/>
                <w:i/>
                <w:sz w:val="20"/>
              </w:rPr>
              <w:t>General Information</w:t>
            </w:r>
            <w:r>
              <w:rPr>
                <w:caps w:val="false"/>
                <w:smallCaps w:val="false"/>
              </w:rPr>
              <w:t xml:space="preserve">” </w:t>
            </w:r>
            <w:r>
              <w:rPr>
                <w:rFonts w:ascii="Arial;Helvetica;sans-serif" w:hAnsi="Arial;Helvetica;sans-serif"/>
                <w:b w:val="false"/>
                <w:i w:val="false"/>
                <w:caps w:val="false"/>
                <w:smallCaps w:val="false"/>
                <w:sz w:val="20"/>
              </w:rPr>
              <w:t>section of this Proxy Statement.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notice provided to the Secretary of the Company must set forth in reasonable detail information concerning the nominee and must include all information required to be disclosed in a Proxy Statement or other filings.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notice provided to the Secretary of the Company must include a description of all arrangements or understandings between the shareowner making the nomination and any other person or persons (naming such person or persons) pursuant to which the nomination is to be made by the shareowner.</w:t>
            </w:r>
          </w:p>
        </w:tc>
      </w:tr>
    </w:tbl>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24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2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3" descr=""/>
                    <pic:cNvPicPr>
                      <a:picLocks noChangeAspect="1" noChangeArrowheads="1"/>
                    </pic:cNvPicPr>
                  </pic:nvPicPr>
                  <pic:blipFill>
                    <a:blip r:embed="rId74"/>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BOARD OF DIRECTORS AND BOARD COMMITTEES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notice provided to the Secretary of the Company must include a representation that the shareowner making the nomination is a holder of record of stock of the Company entitled to vote at such meeting and intends to appear in person or by proxy at the meeting to present the nomination.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notice provided to the Secretary of the Company must include the consent of each nominee to serve as director of the Company if elected.</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foregoing summary of our shareowner directors nomination procedures is not complete and is qualified in its entirety by reference to the full text of our By-Laws that has been publicly filed with the SEC and is available at www.sec.gov.</w:t>
      </w:r>
    </w:p>
    <w:p>
      <w:pPr>
        <w:pStyle w:val="TextBody"/>
        <w:bidi w:val="0"/>
        <w:spacing w:before="240" w:after="120"/>
        <w:ind w:left="0" w:right="0" w:hanging="0"/>
        <w:jc w:val="left"/>
        <w:rPr>
          <w:rFonts w:ascii="Arial;Helvetica;sans-serif" w:hAnsi="Arial;Helvetica;sans-serif"/>
          <w:b/>
          <w:sz w:val="24"/>
        </w:rPr>
      </w:pPr>
      <w:bookmarkStart w:id="35" w:name="BoardofDirectorsCompensationandBenefits_"/>
      <w:bookmarkEnd w:id="35"/>
      <w:r>
        <w:rPr>
          <w:rFonts w:ascii="Arial;Helvetica;sans-serif" w:hAnsi="Arial;Helvetica;sans-serif"/>
          <w:b/>
          <w:sz w:val="24"/>
        </w:rPr>
        <w:t>Board of Directors Compensation and Benefits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Board has delegated primary responsibility for matters relating to compensation of our directors to the Nominating/Corporate Governance Committee. Because the Nominating/Corporate Governance Committee is also responsible for the recruitment of new directors and ensuring that the Board and committees are properly constituted, the Board believes that compensation matters relating to our directors should also reside with the Nominating/Corporate Governance Committee. The Nominating/Corporate Governance Committee, in consultation with the Board’s independent compensation consultant, Pay Governance, as appropriate, recommends the overall compensation structure for directors to the full Board for review and approval.</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 xml:space="preserve">Committee Review of Director Compensation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Nominating/Corporate Governance Committee determines appropriate levels of compensation for our non-employee directors by reviewing data from other publicly-traded companies and conferring with independent outside advisors as necessary, to obtain information on competitive director compensation practices and trends. The Committee uses this information to determine appropriate levels of non-employee director compensation. The Committee then makes recommendations regarding non-employee director compensation to the full Board for approval.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April 2026, the Nominating/Corporate Governance Committee commissioned a director compensation assessment that was conducted by the Compensation and Human Capital Committee’s independent consultant, Pay Governance. The consultant compared the Company’s director compensation levels and program practices to those of the Company’s peer group of 18 companies and a broader set of 205 general industrial companies of similar size to Kennametal. The consultant also advised the Committee of current trends and practices in director compensation, which include shareowner approval of equity award limits to directors. The consultant considered that the Company maintains a directors’ equity award limit of $500,000 in Company stock, which is contained in the 2024 Stock and Incentive Plan approved by the Company’s shareowners. The equity award limit prevents any individual non-employee director from receiving more than $500,000 in Company stock in any individual year. The 2024 Stock and Incentive Plan includes an overall limit of $850,000 per year for all non-employee director compensation, including equity, cash fees and cash awards.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Based upon the assessment conducted by the compensation consultant, among other considerations, the Nominating/Corporate Governance Committee, at its April 28, 2026 committee meeting, recommended changes in director compensation for Fiscal 2027, which were thereafter approved by the Board as follows: Effective July 1, 2026, a $10,000 increase in the annual Board retainer; a $10,000 increase in the annual Restricted Stock Award; a $2,000 increase in cash retainer for the Audit Committee Chair; and a $2,500 increase in cash retainer for the Nominating and Corporate Governance Committee Chair. No changes to the cash retainer for the Compensation and Human Capital Committee Chair were recommended.</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Equity Ownership by Directors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Board believes that directors should hold meaningful equity ownership positions in the Company. Accordingly, a significant portion of overall director compensation is in the form of Company equity, as shown in the “</w:t>
      </w:r>
      <w:r>
        <w:rPr>
          <w:rFonts w:ascii="Arial;Helvetica;sans-serif" w:hAnsi="Arial;Helvetica;sans-serif"/>
          <w:i/>
          <w:sz w:val="20"/>
        </w:rPr>
        <w:t>Overview of Director Compensation</w:t>
      </w:r>
      <w:r>
        <w:rPr>
          <w:rFonts w:ascii="Arial;Helvetica;sans-serif" w:hAnsi="Arial;Helvetica;sans-serif"/>
          <w:sz w:val="20"/>
        </w:rPr>
        <w:t>” section below. Our Stock Ownership Guidelines require our directors to accumulate and maintain equity ownership in the Company having a value of no less than five times the annual retainer within five years of the date they become subject to the policy.</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25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2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4" descr=""/>
                    <pic:cNvPicPr>
                      <a:picLocks noChangeAspect="1" noChangeArrowheads="1"/>
                    </pic:cNvPicPr>
                  </pic:nvPicPr>
                  <pic:blipFill>
                    <a:blip r:embed="rId75"/>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BOARD OF DIRECTORS AND BOARD COMMITTEES</w:t>
      </w:r>
    </w:p>
    <w:p>
      <w:pPr>
        <w:pStyle w:val="TextBody"/>
        <w:bidi w:val="0"/>
        <w:spacing w:before="0" w:after="120"/>
        <w:ind w:left="0" w:right="0" w:hanging="0"/>
        <w:jc w:val="left"/>
        <w:rPr>
          <w:rFonts w:ascii="Arial;Helvetica;sans-serif" w:hAnsi="Arial;Helvetica;sans-serif"/>
          <w:sz w:val="24"/>
        </w:rPr>
      </w:pPr>
      <w:r>
        <w:rPr>
          <w:rFonts w:ascii="Arial;Helvetica;sans-serif" w:hAnsi="Arial;Helvetica;sans-serif"/>
          <w:sz w:val="24"/>
        </w:rPr>
        <w:t>Overview of Director Compensation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do not pay any additional cash compensation to management employees who serve as directors. In addition, no director who is employed by the Company may serve on any Board committee. Mr. Chowbey, our President and CEO, is the only employee of the Company who serves as a director. Our non-employee directors receive a combination of cash and equity compensation for their services as a director or committee member as described below.</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Cash Compensation for Non-Employee Directors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2026, our non-employee directors were entitled to receive the following cash compensation:</w:t>
      </w:r>
    </w:p>
    <w:tbl>
      <w:tblPr>
        <w:tblW w:w="7369" w:type="dxa"/>
        <w:jc w:val="left"/>
        <w:tblInd w:w="0" w:type="dxa"/>
        <w:tblLayout w:type="fixed"/>
        <w:tblCellMar>
          <w:top w:w="0" w:type="dxa"/>
          <w:left w:w="0" w:type="dxa"/>
          <w:bottom w:w="0" w:type="dxa"/>
          <w:right w:w="0" w:type="dxa"/>
        </w:tblCellMar>
      </w:tblPr>
      <w:tblGrid>
        <w:gridCol w:w="5971"/>
        <w:gridCol w:w="346"/>
        <w:gridCol w:w="211"/>
        <w:gridCol w:w="841"/>
      </w:tblGrid>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597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Annual Cash Retainer</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 ​ ​</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597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All Non-Employee Directors</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r>
      <w:tr>
        <w:trPr/>
        <w:tc>
          <w:tcPr>
            <w:tcW w:w="597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Additional Annual Cash Retainers</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597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Non-Executive Chairman of the Board or Independent Lead Director</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100,000</w:t>
            </w:r>
          </w:p>
        </w:tc>
      </w:tr>
      <w:tr>
        <w:trPr/>
        <w:tc>
          <w:tcPr>
            <w:tcW w:w="597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Audit Committee Chair</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18,000</w:t>
            </w:r>
          </w:p>
        </w:tc>
      </w:tr>
      <w:tr>
        <w:trPr/>
        <w:tc>
          <w:tcPr>
            <w:tcW w:w="597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Compensation and Human Capital Committee Chair</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15,000</w:t>
            </w:r>
          </w:p>
        </w:tc>
      </w:tr>
      <w:tr>
        <w:trPr/>
        <w:tc>
          <w:tcPr>
            <w:tcW w:w="597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Nominating/Corporate Governance Committee Chair</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single" w:sz="2" w:space="0" w:color="7F7F7F"/>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10,000</w:t>
            </w:r>
          </w:p>
        </w:tc>
      </w:tr>
    </w:tbl>
    <w:p>
      <w:pPr>
        <w:pStyle w:val="TextBody"/>
        <w:bidi w:val="0"/>
        <w:spacing w:before="0" w:after="240"/>
        <w:ind w:left="0" w:right="0" w:hanging="0"/>
        <w:jc w:val="both"/>
        <w:rPr/>
      </w:pPr>
      <w:r>
        <w:rPr/>
        <w:t>​</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Equity Compensation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Equity compensation for our non-employee directors consists of:</w:t>
      </w:r>
    </w:p>
    <w:tbl>
      <w:tblPr>
        <w:tblW w:w="10205" w:type="dxa"/>
        <w:jc w:val="left"/>
        <w:tblInd w:w="0" w:type="dxa"/>
        <w:tblLayout w:type="fixed"/>
        <w:tblCellMar>
          <w:top w:w="0" w:type="dxa"/>
          <w:left w:w="0" w:type="dxa"/>
          <w:bottom w:w="0" w:type="dxa"/>
          <w:right w:w="0" w:type="dxa"/>
        </w:tblCellMar>
      </w:tblPr>
      <w:tblGrid>
        <w:gridCol w:w="8807"/>
        <w:gridCol w:w="346"/>
        <w:gridCol w:w="211"/>
        <w:gridCol w:w="841"/>
      </w:tblGrid>
      <w:tr>
        <w:trPr/>
        <w:tc>
          <w:tcPr>
            <w:tcW w:w="88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123"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124"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34035" cy="175260"/>
                      <wp:effectExtent l="0" t="0" r="0" b="0"/>
                      <wp:wrapNone/>
                      <wp:docPr id="125" name="Frame5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807"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Annual Grant of Restricted Stock, Restricted Stock Units or Deferred Stock Credits (grant amount is rounded up to the next whole share)</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145,000</w:t>
            </w:r>
          </w:p>
        </w:tc>
      </w:tr>
      <w:tr>
        <w:trPr/>
        <w:tc>
          <w:tcPr>
            <w:tcW w:w="8807"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Perquisites and Personal Benefits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All non-employee directors receive $50,000 of life insurance coverage, which is paid for by the Company. Directors do not receive tax reimbursements for income imputed to them for the premiums we pay for life insurance coverage. We reimburse directors for customary travel and related expenses for their attendance at Board and committee meetings, as well as continuing education programs, as appropriate.</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Deferred Fee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a Deferred Fee Plan for non-employee directors (the “Deferred Fee Plan”). On an annual basis, our non-employee directors may elect to defer payment of all or a portion of the cash fees they are entitled to receive from the Company for their services as a director and as a committee Chair, if applicable, all of which amounts will be credited as stock credits under the Directors Stock Incentive Plan (described below).</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Directors Stock Incentive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Under the Directors Stock Incentive Plan, any non-employee director may elect (i) to receive shares of the Company’s capital stock in lieu of all or any portion of cash compensation they are otherwise entitled to receive; or (ii) to have stock credits (representing an equivalent amount of the cash being deferred) credited to an account established by the Company for such participating director.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 non-employee director elects to receive shares of the Company’s capital stock in lieu of all or any portion of the cash compensation otherwise payable to such director, the director will receive, on the date that the compensation otherwise would have been paid, the number of shares of capital stock of the Company that could have been purchased on that date based on the amount of cash compensation and the fair market value of the Company’s capital stock on that date.</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26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2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5" descr=""/>
                    <pic:cNvPicPr>
                      <a:picLocks noChangeAspect="1" noChangeArrowheads="1"/>
                    </pic:cNvPicPr>
                  </pic:nvPicPr>
                  <pic:blipFill>
                    <a:blip r:embed="rId76"/>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BOARD OF DIRECTORS AND BOARD COMMITTEES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If a non-employee director makes a stock credit election, an account established for the non-employee director is credited with a number of stock credits equal to the number of shares of capital stock that could have been purchased with the amount of cash compensation being deferred based on the fair market value of the Company’s capital stock on the day that the compensation would have been paid to the non-employee director. Dividend equivalents are credited to the account of any director who has elected to receive stock credits in lieu of cash compensation. Dividend equivalents are calculated at the same rate as the current dividend; there is no preferential or above-market earnings potential for deferrals into stock credits. In the event of a change in control, issued and outstanding shares of capital stock equal to the aggregate number of stock credits in each non-employee director’s stock credit account would be contributed to a deferred compensation trust (a “Rabbi Trust”) established by the Company and administered by an independent trustee. Generally, unless a director has selected a different payment option, as permitted under the plan, the director will receive upon his/her Separation from Service (as defined in the plan) that number of shares of the Company’s capital stock equal to the number of stock credits in such director’s account multiplied by the fair market value of the Company’s capital stock as of the date of the director’s Separation from Service.</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2026 Non-Employee Director Compensation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shows the actual compensation we paid to our non-employee directors for service on the Board and applicable committees in 2026.</w:t>
      </w:r>
    </w:p>
    <w:p>
      <w:pPr>
        <w:pStyle w:val="TextBody"/>
        <w:bidi w:val="0"/>
        <w:spacing w:before="0" w:after="0"/>
        <w:ind w:left="0" w:right="0" w:hanging="0"/>
        <w:jc w:val="left"/>
        <w:rPr>
          <w:rFonts w:ascii="Arial;Helvetica;sans-serif" w:hAnsi="Arial;Helvetica;sans-serif"/>
          <w:sz w:val="24"/>
        </w:rPr>
      </w:pPr>
      <w:r>
        <w:rPr>
          <w:rFonts w:ascii="Arial;Helvetica;sans-serif" w:hAnsi="Arial;Helvetica;sans-serif"/>
          <w:sz w:val="24"/>
        </w:rPr>
        <w:t xml:space="preserve">2026 Non-Employee Director Compensation </w:t>
      </w:r>
    </w:p>
    <w:p>
      <w:pPr>
        <w:pStyle w:val="TextBody"/>
        <w:bidi w:val="0"/>
        <w:spacing w:before="0" w:after="0"/>
        <w:ind w:left="0" w:right="0" w:hanging="0"/>
        <w:jc w:val="left"/>
        <w:rPr/>
      </w:pPr>
      <w:r>
        <w:rPr/>
        <w:t>​</w:t>
      </w:r>
    </w:p>
    <w:tbl>
      <w:tblPr>
        <w:tblW w:w="7869" w:type="dxa"/>
        <w:jc w:val="left"/>
        <w:tblInd w:w="0" w:type="dxa"/>
        <w:tblLayout w:type="fixed"/>
        <w:tblCellMar>
          <w:top w:w="0" w:type="dxa"/>
          <w:left w:w="0" w:type="dxa"/>
          <w:bottom w:w="0" w:type="dxa"/>
          <w:right w:w="0" w:type="dxa"/>
        </w:tblCellMar>
      </w:tblPr>
      <w:tblGrid>
        <w:gridCol w:w="2086"/>
        <w:gridCol w:w="346"/>
        <w:gridCol w:w="1291"/>
        <w:gridCol w:w="346"/>
        <w:gridCol w:w="931"/>
        <w:gridCol w:w="346"/>
        <w:gridCol w:w="1276"/>
        <w:gridCol w:w="346"/>
        <w:gridCol w:w="90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24610" cy="175260"/>
                      <wp:effectExtent l="0" t="0" r="0" b="0"/>
                      <wp:wrapNone/>
                      <wp:docPr id="127" name="Frame52"/>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819785" cy="175260"/>
                      <wp:effectExtent l="0" t="0" r="0" b="0"/>
                      <wp:wrapNone/>
                      <wp:docPr id="128" name="Frame53"/>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91185" cy="175260"/>
                      <wp:effectExtent l="0" t="0" r="0" b="0"/>
                      <wp:wrapNone/>
                      <wp:docPr id="129" name="Frame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810260" cy="175260"/>
                      <wp:effectExtent l="0" t="0" r="0" b="0"/>
                      <wp:wrapNone/>
                      <wp:docPr id="130" name="Frame5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72135" cy="175260"/>
                      <wp:effectExtent l="0" t="0" r="0" b="0"/>
                      <wp:wrapNone/>
                      <wp:docPr id="131" name="Frame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291"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901" w:type="dxa"/>
            <w:tcBorders/>
            <w:shd w:fill="E5E5E5" w:val="clear"/>
            <w:vAlign w:val="center"/>
          </w:tcPr>
          <w:p>
            <w:pPr>
              <w:pStyle w:val="TableContents"/>
              <w:bidi w:val="0"/>
              <w:spacing w:before="0" w:after="0"/>
              <w:ind w:left="0" w:right="0" w:hanging="0"/>
              <w:jc w:val="center"/>
              <w:rPr/>
            </w:pPr>
            <w:r>
              <w:rPr/>
              <w:t>​</w:t>
            </w:r>
          </w:p>
        </w:tc>
      </w:tr>
      <w:tr>
        <w:trPr/>
        <w:tc>
          <w:tcPr>
            <w:tcW w:w="208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29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Fees Earned or</w:t>
            </w:r>
          </w:p>
        </w:tc>
        <w:tc>
          <w:tcPr>
            <w:tcW w:w="34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All Other</w:t>
            </w:r>
          </w:p>
        </w:tc>
        <w:tc>
          <w:tcPr>
            <w:tcW w:w="346" w:type="dxa"/>
            <w:tcBorders/>
            <w:shd w:fill="E5E5E5" w:val="clear"/>
            <w:vAlign w:val="center"/>
          </w:tcPr>
          <w:p>
            <w:pPr>
              <w:pStyle w:val="TableContents"/>
              <w:bidi w:val="0"/>
              <w:spacing w:before="0" w:after="0"/>
              <w:ind w:left="0" w:right="0" w:hanging="0"/>
              <w:jc w:val="left"/>
              <w:rPr/>
            </w:pPr>
            <w:r>
              <w:rPr/>
              <w:t>​</w:t>
            </w:r>
          </w:p>
        </w:tc>
        <w:tc>
          <w:tcPr>
            <w:tcW w:w="901" w:type="dxa"/>
            <w:tcBorders/>
            <w:shd w:fill="E5E5E5" w:val="clear"/>
            <w:vAlign w:val="center"/>
          </w:tcPr>
          <w:p>
            <w:pPr>
              <w:pStyle w:val="TableContents"/>
              <w:bidi w:val="0"/>
              <w:spacing w:before="0" w:after="0"/>
              <w:ind w:left="0" w:right="0" w:hanging="0"/>
              <w:jc w:val="center"/>
              <w:rPr/>
            </w:pPr>
            <w:r>
              <w:rPr/>
              <w:t>​</w:t>
            </w:r>
          </w:p>
        </w:tc>
      </w:tr>
      <w:tr>
        <w:trPr/>
        <w:tc>
          <w:tcPr>
            <w:tcW w:w="208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29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 in Cash</w:t>
            </w:r>
          </w:p>
        </w:tc>
        <w:tc>
          <w:tcPr>
            <w:tcW w:w="34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Awards</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46" w:type="dxa"/>
            <w:tcBorders/>
            <w:shd w:fill="E5E5E5" w:val="clear"/>
            <w:vAlign w:val="center"/>
          </w:tcPr>
          <w:p>
            <w:pPr>
              <w:pStyle w:val="TableContents"/>
              <w:bidi w:val="0"/>
              <w:spacing w:before="0" w:after="0"/>
              <w:ind w:left="0" w:right="0" w:hanging="0"/>
              <w:jc w:val="left"/>
              <w:rPr/>
            </w:pPr>
            <w:r>
              <w:rPr/>
              <w:t>​</w:t>
            </w:r>
          </w:p>
        </w:tc>
        <w:tc>
          <w:tcPr>
            <w:tcW w:w="901" w:type="dxa"/>
            <w:tcBorders/>
            <w:shd w:fill="E5E5E5" w:val="clear"/>
            <w:vAlign w:val="center"/>
          </w:tcPr>
          <w:p>
            <w:pPr>
              <w:pStyle w:val="TableContents"/>
              <w:bidi w:val="0"/>
              <w:spacing w:before="0" w:after="0"/>
              <w:ind w:left="0" w:right="0" w:hanging="0"/>
              <w:jc w:val="center"/>
              <w:rPr/>
            </w:pPr>
            <w:r>
              <w:rPr/>
              <w:t>​</w:t>
            </w:r>
          </w:p>
        </w:tc>
      </w:tr>
      <w:tr>
        <w:trPr/>
        <w:tc>
          <w:tcPr>
            <w:tcW w:w="2086"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shd w:fill="E5E5E5" w:val="clear"/>
            <w:vAlign w:val="center"/>
          </w:tcPr>
          <w:p>
            <w:pPr>
              <w:pStyle w:val="TableContents"/>
              <w:bidi w:val="0"/>
              <w:spacing w:before="0" w:after="0"/>
              <w:ind w:left="0" w:right="0" w:hanging="0"/>
              <w:jc w:val="left"/>
              <w:rPr/>
            </w:pPr>
            <w:r>
              <w:rPr/>
              <w:t>  ​ ​ ​</w:t>
            </w:r>
          </w:p>
        </w:tc>
        <w:tc>
          <w:tcPr>
            <w:tcW w:w="129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w:t>
            </w:r>
          </w:p>
        </w:tc>
        <w:tc>
          <w:tcPr>
            <w:tcW w:w="346" w:type="dxa"/>
            <w:tcBorders/>
            <w:shd w:fill="E5E5E5" w:val="clear"/>
            <w:vAlign w:val="center"/>
          </w:tcPr>
          <w:p>
            <w:pPr>
              <w:pStyle w:val="TableContents"/>
              <w:bidi w:val="0"/>
              <w:spacing w:before="0" w:after="0"/>
              <w:ind w:left="0" w:right="0" w:hanging="0"/>
              <w:jc w:val="left"/>
              <w:rPr/>
            </w:pPr>
            <w:r>
              <w:rPr/>
              <w:t>  ​ ​ ​</w:t>
            </w:r>
          </w:p>
        </w:tc>
        <w:tc>
          <w:tcPr>
            <w:tcW w:w="93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($)(2)(3)</w:t>
            </w:r>
          </w:p>
        </w:tc>
        <w:tc>
          <w:tcPr>
            <w:tcW w:w="346" w:type="dxa"/>
            <w:tcBorders/>
            <w:shd w:fill="E5E5E5" w:val="clear"/>
            <w:vAlign w:val="center"/>
          </w:tcPr>
          <w:p>
            <w:pPr>
              <w:pStyle w:val="TableContents"/>
              <w:bidi w:val="0"/>
              <w:spacing w:before="0" w:after="0"/>
              <w:ind w:left="0" w:right="0" w:hanging="0"/>
              <w:jc w:val="left"/>
              <w:rPr/>
            </w:pPr>
            <w:r>
              <w:rPr/>
              <w:t>  ​ ​ ​</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($)(4)</w:t>
            </w:r>
          </w:p>
        </w:tc>
        <w:tc>
          <w:tcPr>
            <w:tcW w:w="346" w:type="dxa"/>
            <w:tcBorders/>
            <w:shd w:fill="E5E5E5" w:val="clear"/>
            <w:vAlign w:val="center"/>
          </w:tcPr>
          <w:p>
            <w:pPr>
              <w:pStyle w:val="TableContents"/>
              <w:bidi w:val="0"/>
              <w:spacing w:before="0" w:after="0"/>
              <w:ind w:left="0" w:right="0" w:hanging="0"/>
              <w:jc w:val="left"/>
              <w:rPr/>
            </w:pPr>
            <w:r>
              <w:rPr/>
              <w:t>  ​ ​ ​</w:t>
            </w:r>
          </w:p>
        </w:tc>
        <w:tc>
          <w:tcPr>
            <w:tcW w:w="90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Joseph Alvarado</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 ​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240,070</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Shelley Bausch</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230,070</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Cindy L. Davis (5) </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21,250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166,320</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Douglas Dietrich</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96,970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242,040</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William J. Harvey (5) </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28,333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226.47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173,559</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M. Lambert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330,070</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Lorraine M. Martin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94,975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240,045</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Sagar A. Patel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230,070</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Sternlieb</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69.6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230,070</w:t>
            </w:r>
          </w:p>
        </w:tc>
      </w:tr>
      <w:tr>
        <w:trPr/>
        <w:tc>
          <w:tcPr>
            <w:tcW w:w="208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Steven H. Wunning (5)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34,333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202.47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179,535</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directors may elect to receive these fees in cash, in shares of our capital stock, or in deferred stock credits.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15, 2025, each non-employee director received a grant of RSUs with a grant date fair value of $144,996 or deferred stock credits amounting to $144,996 for those who elected to defer their restricted unit awards into deferred stock credits. RSUs vest at a rate of one-third per year over a three-year period beginning on the first anniversary of the grant date. Deferred stock credits may not be paid until the third anniversary of the grant date. The aggregate number of equity awards held by each director as of June 30, 2026, is set forth below in the Supplemental Table to 2026 Non-Employee Director Compensation Table. The values set forth in this column are based on the aggregate grant date fair value of the awards computed in accordance with FASB ASC Topic 718 (excluding the effect of estimated forfeitures). Please refer to Note 18 to the financial statements included in Kennametal’s Annual Report on Form 10-K for 2026 for a discussion of additional assumptions used in calculating grant date fair value.</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pay dividend equivalents on unvested RSUs during the restriction period, but the dividends are not preferential. For those directors who elected to defer their RSUs into deferred stock credits, their accounts are credited quarterly with dividend equivalents, but again, these are not preferential.</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27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3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6" descr=""/>
                    <pic:cNvPicPr>
                      <a:picLocks noChangeAspect="1" noChangeArrowheads="1"/>
                    </pic:cNvPicPr>
                  </pic:nvPicPr>
                  <pic:blipFill>
                    <a:blip r:embed="rId77"/>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BOARD OF DIRECTORS AND BOARD COMMITTEES</w:t>
      </w:r>
    </w:p>
    <w:tbl>
      <w:tblPr>
        <w:tblW w:w="7142" w:type="dxa"/>
        <w:jc w:val="left"/>
        <w:tblInd w:w="0" w:type="dxa"/>
        <w:tblLayout w:type="fixed"/>
        <w:tblCellMar>
          <w:top w:w="0" w:type="dxa"/>
          <w:left w:w="0" w:type="dxa"/>
          <w:bottom w:w="0" w:type="dxa"/>
          <w:right w:w="0" w:type="dxa"/>
        </w:tblCellMar>
      </w:tblPr>
      <w:tblGrid>
        <w:gridCol w:w="346"/>
        <w:gridCol w:w="679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67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amounts consist of premiums paid by the Company for life insurance.</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Davis retired from the board effective September 1, 2025, and Mr. Harvey and Mr. Wunning did not stand for re-election at our 2025 Annual Meeting, and as such, each only served as independent Directors for a portion of Fiscal 2026.</w:t>
            </w:r>
          </w:p>
        </w:tc>
      </w:tr>
    </w:tbl>
    <w:p>
      <w:pPr>
        <w:pStyle w:val="TextBody"/>
        <w:bidi w:val="0"/>
        <w:spacing w:before="240" w:after="0"/>
        <w:ind w:left="0" w:right="0" w:hanging="0"/>
        <w:jc w:val="left"/>
        <w:rPr>
          <w:rFonts w:ascii="Arial;Helvetica;sans-serif" w:hAnsi="Arial;Helvetica;sans-serif"/>
          <w:sz w:val="24"/>
        </w:rPr>
      </w:pPr>
      <w:r>
        <w:rPr>
          <w:rFonts w:ascii="Arial;Helvetica;sans-serif" w:hAnsi="Arial;Helvetica;sans-serif"/>
          <w:sz w:val="24"/>
        </w:rPr>
        <w:t xml:space="preserve">Supplemental Table to 2026 Non-Employee Director Compensation Table </w:t>
      </w:r>
    </w:p>
    <w:p>
      <w:pPr>
        <w:pStyle w:val="TextBody"/>
        <w:bidi w:val="0"/>
        <w:spacing w:before="0" w:after="240"/>
        <w:ind w:left="0" w:right="0" w:hanging="0"/>
        <w:jc w:val="both"/>
        <w:rPr/>
      </w:pPr>
      <w:r>
        <w:rPr/>
        <w:t>​</w:t>
      </w:r>
    </w:p>
    <w:tbl>
      <w:tblPr>
        <w:tblW w:w="7897" w:type="dxa"/>
        <w:jc w:val="left"/>
        <w:tblInd w:w="0" w:type="dxa"/>
        <w:tblLayout w:type="fixed"/>
        <w:tblCellMar>
          <w:top w:w="0" w:type="dxa"/>
          <w:left w:w="0" w:type="dxa"/>
          <w:bottom w:w="0" w:type="dxa"/>
          <w:right w:w="0" w:type="dxa"/>
        </w:tblCellMar>
      </w:tblPr>
      <w:tblGrid>
        <w:gridCol w:w="1801"/>
        <w:gridCol w:w="346"/>
        <w:gridCol w:w="1426"/>
        <w:gridCol w:w="346"/>
        <w:gridCol w:w="1876"/>
        <w:gridCol w:w="346"/>
        <w:gridCol w:w="175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143635" cy="175260"/>
                      <wp:effectExtent l="0" t="0" r="0" b="0"/>
                      <wp:wrapNone/>
                      <wp:docPr id="133" name="Frame57"/>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134"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905510" cy="175260"/>
                      <wp:effectExtent l="0" t="0" r="0" b="0"/>
                      <wp:wrapNone/>
                      <wp:docPr id="135" name="Frame5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136"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191260" cy="175260"/>
                      <wp:effectExtent l="0" t="0" r="0" b="0"/>
                      <wp:wrapNone/>
                      <wp:docPr id="137" name="Frame61"/>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138"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115060" cy="175260"/>
                      <wp:effectExtent l="0" t="0" r="0" b="0"/>
                      <wp:wrapNone/>
                      <wp:docPr id="139" name="Frame6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42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7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7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Aggregate Deferred</w:t>
            </w:r>
          </w:p>
        </w:tc>
      </w:tr>
      <w:tr>
        <w:trPr/>
        <w:tc>
          <w:tcPr>
            <w:tcW w:w="1801"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4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Aggregate Stock</w:t>
            </w:r>
          </w:p>
        </w:tc>
        <w:tc>
          <w:tcPr>
            <w:tcW w:w="346" w:type="dxa"/>
            <w:tcBorders/>
            <w:shd w:fill="E5E5E5" w:val="clear"/>
            <w:vAlign w:val="center"/>
          </w:tcPr>
          <w:p>
            <w:pPr>
              <w:pStyle w:val="TableContents"/>
              <w:bidi w:val="0"/>
              <w:spacing w:before="0" w:after="0"/>
              <w:ind w:left="0" w:right="0" w:hanging="0"/>
              <w:jc w:val="left"/>
              <w:rPr/>
            </w:pPr>
            <w:r>
              <w:rPr/>
              <w:t>​</w:t>
            </w:r>
          </w:p>
        </w:tc>
        <w:tc>
          <w:tcPr>
            <w:tcW w:w="18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Aggregate Unvested</w:t>
            </w:r>
          </w:p>
        </w:tc>
        <w:tc>
          <w:tcPr>
            <w:tcW w:w="346" w:type="dxa"/>
            <w:tcBorders/>
            <w:shd w:fill="E5E5E5" w:val="clear"/>
            <w:vAlign w:val="center"/>
          </w:tcPr>
          <w:p>
            <w:pPr>
              <w:pStyle w:val="TableContents"/>
              <w:bidi w:val="0"/>
              <w:spacing w:before="0" w:after="0"/>
              <w:ind w:left="0" w:right="0" w:hanging="0"/>
              <w:jc w:val="left"/>
              <w:rPr/>
            </w:pPr>
            <w:r>
              <w:rPr/>
              <w:t>​</w:t>
            </w:r>
          </w:p>
        </w:tc>
        <w:tc>
          <w:tcPr>
            <w:tcW w:w="17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Unvested Restricted</w:t>
            </w:r>
          </w:p>
        </w:tc>
      </w:tr>
      <w:tr>
        <w:trPr/>
        <w:tc>
          <w:tcPr>
            <w:tcW w:w="1801"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4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346" w:type="dxa"/>
            <w:tcBorders/>
            <w:shd w:fill="E5E5E5" w:val="clear"/>
            <w:vAlign w:val="center"/>
          </w:tcPr>
          <w:p>
            <w:pPr>
              <w:pStyle w:val="TableContents"/>
              <w:bidi w:val="0"/>
              <w:spacing w:before="0" w:after="0"/>
              <w:ind w:left="0" w:right="0" w:hanging="0"/>
              <w:jc w:val="left"/>
              <w:rPr/>
            </w:pPr>
            <w:r>
              <w:rPr/>
              <w:t>​</w:t>
            </w:r>
          </w:p>
        </w:tc>
        <w:tc>
          <w:tcPr>
            <w:tcW w:w="18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 Stock Units</w:t>
            </w:r>
          </w:p>
        </w:tc>
        <w:tc>
          <w:tcPr>
            <w:tcW w:w="346" w:type="dxa"/>
            <w:tcBorders/>
            <w:shd w:fill="E5E5E5" w:val="clear"/>
            <w:vAlign w:val="center"/>
          </w:tcPr>
          <w:p>
            <w:pPr>
              <w:pStyle w:val="TableContents"/>
              <w:bidi w:val="0"/>
              <w:spacing w:before="0" w:after="0"/>
              <w:ind w:left="0" w:right="0" w:hanging="0"/>
              <w:jc w:val="left"/>
              <w:rPr/>
            </w:pPr>
            <w:r>
              <w:rPr/>
              <w:t>​</w:t>
            </w:r>
          </w:p>
        </w:tc>
        <w:tc>
          <w:tcPr>
            <w:tcW w:w="17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r>
      <w:tr>
        <w:trPr/>
        <w:tc>
          <w:tcPr>
            <w:tcW w:w="1801"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4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 at</w:t>
            </w:r>
          </w:p>
        </w:tc>
        <w:tc>
          <w:tcPr>
            <w:tcW w:w="346" w:type="dxa"/>
            <w:tcBorders/>
            <w:shd w:fill="E5E5E5" w:val="clear"/>
            <w:vAlign w:val="center"/>
          </w:tcPr>
          <w:p>
            <w:pPr>
              <w:pStyle w:val="TableContents"/>
              <w:bidi w:val="0"/>
              <w:spacing w:before="0" w:after="0"/>
              <w:ind w:left="0" w:right="0" w:hanging="0"/>
              <w:jc w:val="left"/>
              <w:rPr/>
            </w:pPr>
            <w:r>
              <w:rPr/>
              <w:t>​</w:t>
            </w:r>
          </w:p>
        </w:tc>
        <w:tc>
          <w:tcPr>
            <w:tcW w:w="18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 at</w:t>
            </w:r>
          </w:p>
        </w:tc>
        <w:tc>
          <w:tcPr>
            <w:tcW w:w="346" w:type="dxa"/>
            <w:tcBorders/>
            <w:shd w:fill="E5E5E5" w:val="clear"/>
            <w:vAlign w:val="center"/>
          </w:tcPr>
          <w:p>
            <w:pPr>
              <w:pStyle w:val="TableContents"/>
              <w:bidi w:val="0"/>
              <w:spacing w:before="0" w:after="0"/>
              <w:ind w:left="0" w:right="0" w:hanging="0"/>
              <w:jc w:val="left"/>
              <w:rPr/>
            </w:pPr>
            <w:r>
              <w:rPr/>
              <w:t>​</w:t>
            </w:r>
          </w:p>
        </w:tc>
        <w:tc>
          <w:tcPr>
            <w:tcW w:w="17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 at</w:t>
            </w:r>
          </w:p>
        </w:tc>
      </w:tr>
      <w:tr>
        <w:trPr/>
        <w:tc>
          <w:tcPr>
            <w:tcW w:w="18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142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Fiscal Year-End</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187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Fiscal Year-End</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175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Fiscal Year-End(1)</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Joseph Alvarado</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12,625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Shelley Bausch</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11,817.588</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Cindy L. Davis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Douglas Dietrich</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1,682</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12,003.591</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J. Harvey</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M. Lambert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12,625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Lorraine M. Martin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12,625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Sagar A. Patel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19,362.007</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Sternlieb</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12,625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8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Steven H. Wunning</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756"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7,502.255</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RSUs that were electively deferred by the Board member into deferred stock credits subject to a minimum deferral period of three years from the date of the grant.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28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4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7" descr=""/>
                    <pic:cNvPicPr>
                      <a:picLocks noChangeAspect="1" noChangeArrowheads="1"/>
                    </pic:cNvPicPr>
                  </pic:nvPicPr>
                  <pic:blipFill>
                    <a:blip r:embed="rId78"/>
                    <a:stretch>
                      <a:fillRect/>
                    </a:stretch>
                  </pic:blipFill>
                  <pic:spPr bwMode="auto">
                    <a:xfrm>
                      <a:off x="0" y="0"/>
                      <a:ext cx="6876415" cy="474980"/>
                    </a:xfrm>
                    <a:prstGeom prst="rect">
                      <a:avLst/>
                    </a:prstGeom>
                  </pic:spPr>
                </pic:pic>
              </a:graphicData>
            </a:graphic>
          </wp:inline>
        </w:drawing>
      </w:r>
    </w:p>
    <w:p>
      <w:pPr>
        <w:pStyle w:val="TextBody"/>
        <w:bidi w:val="0"/>
        <w:spacing w:before="0" w:after="48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36" w:name="AuditCommitteeReport_116281"/>
      <w:bookmarkStart w:id="37" w:name="_b717aa33_cd0c_4765_9bca_5669a17027d3"/>
      <w:bookmarkEnd w:id="36"/>
      <w:bookmarkEnd w:id="37"/>
      <w:r>
        <w:rPr>
          <w:rFonts w:ascii="Arial;Helvetica;sans-serif" w:hAnsi="Arial;Helvetica;sans-serif"/>
          <w:b/>
          <w:sz w:val="32"/>
        </w:rPr>
        <w:t xml:space="preserve">Audit Committee Report </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Functions of the Audit Committee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Audit Committee (“we” or the “committee”) assists the Board in its oversight of: the quality and integrity of the Company’s financial statements, internal controls and disclosures; the Company’s compliance with legal and regulatory requirements; the performance, qualifications and independence of the Company’s independent auditors; the performance of the internal audit function; and oversight of policies with respect to risk assessment and risk management, including cybersecurity and artificial intelligence technologies. We have the sole authority to appoint, retain, terminate and replace the Company’s independent auditors, subject to shareowner ratification with respect to retention at the next regularly scheduled annual meeting of shareowners. We perform an annual self-assessment to evaluate the composition, activities and interactions of the committee and submit the results of the self-assessment to both the Nominating/Corporate Governance Committee and the Board.</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Responsibilities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Management is responsible for the Company’s financial reporting process and system of internal controls and for the preparation and presentation of consolidated financial statements in accordance with accounting principles generally accepted in the United States (“GAAP”). The independent auditors are responsible for planning and carrying out an audit of the financial statements and internal control over financial reporting in accordance with standards established by the Public Company Accounting Oversight Board (“PCAOB”) and issuing a report on that audit. Our responsibility is to provide oversight into these processes. We do not certify the financial statements or guarantee the auditor’s report. To fulfill our oversight role, we rely (without independent verification) on the information provided to us, the representations made by management and the independent auditors and the report of the independent auditors.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Complaints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Anyone, including any Company employee, who has a complaint or concern regarding the Company’s accounting, internal auditing controls or auditing matters may communicate that complaint or concern to the committee: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writing directed to Kennametal Inc., Attention: Vice President, Secretary and General Counsel, 525 William Penn Place, Suite 3300, Pittsburgh, Pennsylvania 15219;</w:t>
            </w:r>
          </w:p>
        </w:tc>
      </w:tr>
    </w:tbl>
    <w:tbl>
      <w:tblPr>
        <w:tblW w:w="8057" w:type="dxa"/>
        <w:jc w:val="left"/>
        <w:tblInd w:w="0" w:type="dxa"/>
        <w:tblLayout w:type="fixed"/>
        <w:tblCellMar>
          <w:top w:w="0" w:type="dxa"/>
          <w:left w:w="0" w:type="dxa"/>
          <w:bottom w:w="0" w:type="dxa"/>
          <w:right w:w="0" w:type="dxa"/>
        </w:tblCellMar>
      </w:tblPr>
      <w:tblGrid>
        <w:gridCol w:w="271"/>
        <w:gridCol w:w="7786"/>
      </w:tblGrid>
      <w:tr>
        <w:trPr/>
        <w:tc>
          <w:tcPr>
            <w:tcW w:w="271" w:type="dxa"/>
            <w:tcBorders/>
            <w:vAlign w:val="center"/>
          </w:tcPr>
          <w:p>
            <w:pPr>
              <w:pStyle w:val="TableContents"/>
              <w:bidi w:val="0"/>
              <w:spacing w:before="0" w:after="283"/>
              <w:jc w:val="left"/>
              <w:rPr/>
            </w:pPr>
            <w:r>
              <w:rPr/>
              <w:t>●</w:t>
            </w:r>
          </w:p>
        </w:tc>
        <w:tc>
          <w:tcPr>
            <w:tcW w:w="77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calling the Company’s toll-free, third-party managed, HELPLINE (1-877-781-7319); or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accessing the Company’s web-based HELPLINE portal accessible at the following link: kennametal.ethicspoint.com.</w:t>
            </w:r>
          </w:p>
        </w:tc>
      </w:tr>
    </w:tbl>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Monitoring Activities in Fiscal Year 2026</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held eight meetings in Fiscal Year 2026. During these meetings, we discussed with management, the internal auditors and the Company’s independent auditors, PricewaterhouseCoopers LLP (“PwC”) (to the extent applicable), the quality and adequacy of the Company’s internal control over financial reporting, the internal audit function’s organization, responsibilities, budget and staffing and the results of internal audit examinations. We also reviewed with both PwC and the internal auditors their respective audit plans, audit scope and identification of audit risks, and met separately with PwC and with the internal auditors, without management present, to discuss the results of their examinations, their evaluations of the Company’s internal control over financial reporting and the overall quality of the Company’s financial reporting. We reviewed the interim financial information contained in each quarterly earnings announcement and each Form 10-Q filed with the SEC in 2026 and discussed this information with PwC and with the Company’s Chief Financial Officer and Corporate Controller prior to release. We also reviewed and discussed with both management and PwC the audited financial statements for the year ended June 30, 2026, prior to release.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discussions with PwC included the matters required by GAAP, including those described in the Statement on Auditing Standards No. 1301 related to communication with audit committees. We received from PwC written disclosures and the letter required by applicable requirements of the PCAOB regarding PwC’s communications with us concerning their independence, and discussed with PwC their independence.</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29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4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8" descr=""/>
                    <pic:cNvPicPr>
                      <a:picLocks noChangeAspect="1" noChangeArrowheads="1"/>
                    </pic:cNvPicPr>
                  </pic:nvPicPr>
                  <pic:blipFill>
                    <a:blip r:embed="rId79"/>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AUDIT COMMITTEE REPORT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Based on these reviews, meetings, discussions and reports, we have recommended to the Board of Directors that the Company’s audited consolidated financial statements be included in the Annual Report on Form 10-K for the fiscal year ended June 30, 2026, for filing with the SEC. We have retained PwC as the Company’s auditor for the fiscal year ending June 30, 2027, and are submitting that decision for shareowner ratification at the Annual Meeting as discussed below.</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AUDIT COMMITTEE REPORT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Audit Committee: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Douglas T. Dietrich, Chair</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Shelley Bausch</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Sagar A. Patel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Paul Sternlieb</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30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4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9" descr=""/>
                    <pic:cNvPicPr>
                      <a:picLocks noChangeAspect="1" noChangeArrowheads="1"/>
                    </pic:cNvPicPr>
                  </pic:nvPicPr>
                  <pic:blipFill>
                    <a:blip r:embed="rId80"/>
                    <a:stretch>
                      <a:fillRect/>
                    </a:stretch>
                  </pic:blipFill>
                  <pic:spPr bwMode="auto">
                    <a:xfrm>
                      <a:off x="0" y="0"/>
                      <a:ext cx="6876415" cy="474980"/>
                    </a:xfrm>
                    <a:prstGeom prst="rect">
                      <a:avLst/>
                    </a:prstGeom>
                  </pic:spPr>
                </pic:pic>
              </a:graphicData>
            </a:graphic>
          </wp:inline>
        </w:drawing>
      </w:r>
    </w:p>
    <w:p>
      <w:pPr>
        <w:pStyle w:val="TextBody"/>
        <w:bidi w:val="0"/>
        <w:spacing w:before="0" w:after="48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32"/>
        </w:rPr>
      </w:pPr>
      <w:bookmarkStart w:id="38" w:name="ProposalIIRatification_572218"/>
      <w:bookmarkStart w:id="39" w:name="_24cd3172_15d6_4312_9476_8bb5d1ebe688"/>
      <w:bookmarkEnd w:id="38"/>
      <w:bookmarkEnd w:id="39"/>
      <w:r>
        <w:rPr>
          <w:rFonts w:ascii="Arial;Helvetica;sans-serif" w:hAnsi="Arial;Helvetica;sans-serif"/>
          <w:b/>
          <w:sz w:val="32"/>
        </w:rPr>
        <w:t>Proposal II. Ratification of PricewaterhouseCoopers LLP as our Independent Registered Public Accounting Firm for the Fiscal Year Ending June 30, 2027</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Audit Committee has retained PwC as the Company’s independent registered public accountants for the fiscal year ending June 30, 2027. As a matter of good corporate practice, the Audit Committee is submitting its selection to our shareowners for ratification at the Annual Meeting. Unless otherwise directed by the shareowners, proxies will be voted in favor of the ratification of the selection of PwC as the Company’s independent public accountants for the fiscal year ending June 30, 2027. In the event that this selection is not ratified by the shareowners, the Audit Committee will consider this vote in determining its future selection of an auditor. Even if the selection is ratified, the Audit Committee, in its discretion, may change the appointment at any time during the year if it determines that a change would be in the best interests of the Company and its shareowners.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Representatives of PwC attended all meetings of the Audit Committee held during Fiscal 2026. The Audit Committee reviewed the non-audit services provided by PwC in 2026 and, based on that review, determined that the non-audit services provided by PwC were compatible with maintaining the independence of PwC.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Representatives of PwC will attend the Annual Meeting and will have the opportunity to make a statement at the meeting if they wish. They also will be available to respond to appropriate questions from shareowners in accordance with the rules of the meeting.</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Fees and Services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Fees for professional services rendered by PwC to the Company and its subsidiaries in 2026 and 2025 were as follows (in millions):</w:t>
      </w:r>
    </w:p>
    <w:tbl>
      <w:tblPr>
        <w:tblW w:w="4013" w:type="dxa"/>
        <w:jc w:val="left"/>
        <w:tblInd w:w="0" w:type="dxa"/>
        <w:tblLayout w:type="fixed"/>
        <w:tblCellMar>
          <w:top w:w="0" w:type="dxa"/>
          <w:left w:w="0" w:type="dxa"/>
          <w:bottom w:w="0" w:type="dxa"/>
          <w:right w:w="0" w:type="dxa"/>
        </w:tblCellMar>
      </w:tblPr>
      <w:tblGrid>
        <w:gridCol w:w="2071"/>
        <w:gridCol w:w="346"/>
        <w:gridCol w:w="721"/>
        <w:gridCol w:w="109"/>
        <w:gridCol w:w="766"/>
      </w:tblGrid>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2071"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  ​ ​ ​</w:t>
            </w:r>
          </w:p>
        </w:tc>
        <w:tc>
          <w:tcPr>
            <w:tcW w:w="72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 ($)</w:t>
            </w:r>
          </w:p>
        </w:tc>
        <w:tc>
          <w:tcPr>
            <w:tcW w:w="109" w:type="dxa"/>
            <w:tcBorders/>
            <w:shd w:fill="E5E5E5" w:val="clear"/>
            <w:vAlign w:val="center"/>
          </w:tcPr>
          <w:p>
            <w:pPr>
              <w:pStyle w:val="TableContents"/>
              <w:bidi w:val="0"/>
              <w:spacing w:before="0" w:after="0"/>
              <w:ind w:left="0" w:right="0" w:hanging="0"/>
              <w:jc w:val="left"/>
              <w:rPr/>
            </w:pPr>
            <w:r>
              <w:rPr/>
              <w:t>​</w:t>
            </w:r>
          </w:p>
        </w:tc>
        <w:tc>
          <w:tcPr>
            <w:tcW w:w="76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 ($)</w:t>
            </w:r>
          </w:p>
        </w:tc>
      </w:tr>
      <w:tr>
        <w:trPr/>
        <w:tc>
          <w:tcPr>
            <w:tcW w:w="20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Audit Fees (1)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c>
          <w:tcPr>
            <w:tcW w:w="10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4.3</w:t>
            </w:r>
          </w:p>
        </w:tc>
      </w:tr>
      <w:tr>
        <w:trPr/>
        <w:tc>
          <w:tcPr>
            <w:tcW w:w="20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Audit-Related Fees (2)</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w:t>
            </w:r>
          </w:p>
        </w:tc>
        <w:tc>
          <w:tcPr>
            <w:tcW w:w="10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0.4</w:t>
            </w:r>
          </w:p>
        </w:tc>
      </w:tr>
      <w:tr>
        <w:trPr/>
        <w:tc>
          <w:tcPr>
            <w:tcW w:w="20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 Fees (3)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0.2</w:t>
            </w:r>
          </w:p>
        </w:tc>
        <w:tc>
          <w:tcPr>
            <w:tcW w:w="10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0.1</w:t>
            </w:r>
          </w:p>
        </w:tc>
      </w:tr>
      <w:tr>
        <w:trPr/>
        <w:tc>
          <w:tcPr>
            <w:tcW w:w="20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All Other Fees (4)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w:t>
            </w:r>
          </w:p>
        </w:tc>
        <w:tc>
          <w:tcPr>
            <w:tcW w:w="10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0.0</w:t>
            </w:r>
          </w:p>
        </w:tc>
      </w:tr>
      <w:tr>
        <w:trPr/>
        <w:tc>
          <w:tcPr>
            <w:tcW w:w="20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4.6</w:t>
            </w:r>
          </w:p>
        </w:tc>
        <w:tc>
          <w:tcPr>
            <w:tcW w:w="10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4.8</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fees relate to services provided for the audit of the consolidated financial statements and internal controls over financial reporting, subsidiary and statutory audits, comfort letters, and assistance with the review of documents filed with the SEC.</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These fees relate to assurance and related services performed by PwC that are reasonably related to the performance of the audit or review of our financial statements not reported as “Audit Fees.” </w:t>
            </w:r>
          </w:p>
        </w:tc>
      </w:tr>
    </w:tbl>
    <w:tbl>
      <w:tblPr>
        <w:tblW w:w="9257" w:type="dxa"/>
        <w:jc w:val="left"/>
        <w:tblInd w:w="0" w:type="dxa"/>
        <w:tblLayout w:type="fixed"/>
        <w:tblCellMar>
          <w:top w:w="0" w:type="dxa"/>
          <w:left w:w="0" w:type="dxa"/>
          <w:bottom w:w="0" w:type="dxa"/>
          <w:right w:w="0" w:type="dxa"/>
        </w:tblCellMar>
      </w:tblPr>
      <w:tblGrid>
        <w:gridCol w:w="346"/>
        <w:gridCol w:w="89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89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fees relate primarily to tax compliance services, tax planning advice and tax audit assistance.</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8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fees relate primarily to licenses for accounting research software and other permissible services that do not fall into the other three categories listed above. All other fees rounded to zero in 2026 and 2025.</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31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4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80" descr=""/>
                    <pic:cNvPicPr>
                      <a:picLocks noChangeAspect="1" noChangeArrowheads="1"/>
                    </pic:cNvPicPr>
                  </pic:nvPicPr>
                  <pic:blipFill>
                    <a:blip r:embed="rId81"/>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PROPOSAL II. Ratification of PricewaterhouseCoopers LLP as our Independent Registered Public Accounting Firm</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Audit Committee Pre-Approval Policy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Audit Committee annually adopts a policy for pre-approval of audit and non-audit services to be provided by the independent auditors. Under the policy, the Audit Committee pre-approves categories of services and fee caps for each category. The pre-approved services include: (i) audit services, such as statutory audits and internal control-related services, services associated with regulatory filings and consultations regarding disclosure treatment of certain transactions or events; (ii) audit-related services, such as due diligence and accounting consultations; (iii) tax services, such as tax compliance (domestic and international) and tax planning and advice; and (iv) other permissible non-audit services that the Audit Committee believes will not impair the auditor’s independence. The Audit Committee must specifically pre-approve the terms of the annual audit services engagement. All other audit and permissible non-audit services not specifically covered by the policy, and any proposed services which materially exceed the pre-approved fee levels, require separate specific pre-approval by the Audit Committee. The Audit Committee has delegated pre-approval authority to its Chairman. The Chairman must report any specific pre-approval decisions to the Audit Committee at the next scheduled meeting for review and ratification. The policy requires the auditor to provide the Audit Committee with detailed supporting documentation regarding the specific services to be provided.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All audit and non-audit services provided by PwC in 2026 were pre-approved under this policy.</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Vote Required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ratification of the selection of PwC as our independent registered public accountants for the fiscal year ending June 30, 2027, will be approved if the proposal receives the affirmative vote of at least a majority of the votes cast by shareowners present, virtually or by proxy, at the meeting. Abstentions will not be counted as votes cast either for or against the proposal.</w:t>
      </w:r>
    </w:p>
    <w:tbl>
      <w:tblPr>
        <w:tblW w:w="10205" w:type="dxa"/>
        <w:jc w:val="left"/>
        <w:tblInd w:w="0" w:type="dxa"/>
        <w:tblLayout w:type="fixed"/>
        <w:tblCellMar>
          <w:top w:w="0" w:type="dxa"/>
          <w:left w:w="0" w:type="dxa"/>
          <w:bottom w:w="0" w:type="dxa"/>
          <w:right w:w="0" w:type="dxa"/>
        </w:tblCellMar>
      </w:tblPr>
      <w:tblGrid>
        <w:gridCol w:w="519"/>
        <w:gridCol w:w="226"/>
        <w:gridCol w:w="9460"/>
      </w:tblGrid>
      <w:tr>
        <w:trPr/>
        <w:tc>
          <w:tcPr>
            <w:tcW w:w="51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460" w:type="dxa"/>
            <w:tcBorders/>
            <w:vAlign w:val="center"/>
          </w:tcPr>
          <w:p>
            <w:pPr>
              <w:pStyle w:val="TableContents"/>
              <w:bidi w:val="0"/>
              <w:spacing w:before="0" w:after="0"/>
              <w:ind w:left="0" w:right="0" w:hanging="0"/>
              <w:jc w:val="left"/>
              <w:rPr/>
            </w:pPr>
            <w:r>
              <w:rPr/>
              <w:t>​</w:t>
            </w:r>
          </w:p>
        </w:tc>
      </w:tr>
      <w:tr>
        <w:trPr/>
        <w:tc>
          <w:tcPr>
            <w:tcW w:w="519" w:type="dxa"/>
            <w:tcBorders/>
            <w:vAlign w:val="center"/>
          </w:tcPr>
          <w:p>
            <w:pPr>
              <w:pStyle w:val="TableContents"/>
              <w:bidi w:val="0"/>
              <w:spacing w:before="0" w:after="0"/>
              <w:ind w:left="0" w:right="0" w:hanging="0"/>
              <w:jc w:val="left"/>
              <w:rPr/>
            </w:pPr>
            <w:r>
              <w:rPr/>
              <w:drawing>
                <wp:inline distT="0" distB="0" distL="0" distR="0">
                  <wp:extent cx="265430" cy="265430"/>
                  <wp:effectExtent l="0" t="0" r="0" b="0"/>
                  <wp:docPr id="14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1" descr=""/>
                          <pic:cNvPicPr>
                            <a:picLocks noChangeAspect="1" noChangeArrowheads="1"/>
                          </pic:cNvPicPr>
                        </pic:nvPicPr>
                        <pic:blipFill>
                          <a:blip r:embed="rId82"/>
                          <a:stretch>
                            <a:fillRect/>
                          </a:stretch>
                        </pic:blipFill>
                        <pic:spPr bwMode="auto">
                          <a:xfrm>
                            <a:off x="0" y="0"/>
                            <a:ext cx="265430" cy="265430"/>
                          </a:xfrm>
                          <a:prstGeom prst="rect">
                            <a:avLst/>
                          </a:prstGeom>
                        </pic:spPr>
                      </pic:pic>
                    </a:graphicData>
                  </a:graphic>
                </wp:inline>
              </w:drawing>
            </w:r>
          </w:p>
        </w:tc>
        <w:tc>
          <w:tcPr>
            <w:tcW w:w="226" w:type="dxa"/>
            <w:tcBorders/>
            <w:vAlign w:val="center"/>
          </w:tcPr>
          <w:p>
            <w:pPr>
              <w:pStyle w:val="TableContents"/>
              <w:bidi w:val="0"/>
              <w:spacing w:before="0" w:after="0"/>
              <w:ind w:left="0" w:right="0" w:hanging="0"/>
              <w:jc w:val="left"/>
              <w:rPr/>
            </w:pPr>
            <w:r>
              <w:rPr/>
              <w:t>  ​</w:t>
            </w:r>
          </w:p>
        </w:tc>
        <w:tc>
          <w:tcPr>
            <w:tcW w:w="946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8"/>
              </w:rPr>
              <w:t xml:space="preserve">THE BOARD OF DIRECTORS UNANIMOUSLY RECOMMENDS A VOTE </w:t>
            </w:r>
            <w:r>
              <w:rPr>
                <w:rFonts w:ascii="Arial;Helvetica;sans-serif" w:hAnsi="Arial;Helvetica;sans-serif"/>
                <w:b/>
                <w:sz w:val="28"/>
              </w:rPr>
              <w:t>FOR</w:t>
            </w:r>
            <w:r>
              <w:rPr>
                <w:rFonts w:ascii="Arial;Helvetica;sans-serif" w:hAnsi="Arial;Helvetica;sans-serif"/>
                <w:sz w:val="20"/>
              </w:rPr>
              <w:t xml:space="preserve"> </w:t>
            </w:r>
            <w:r>
              <w:rPr>
                <w:rFonts w:ascii="Arial;Helvetica;sans-serif" w:hAnsi="Arial;Helvetica;sans-serif"/>
                <w:sz w:val="28"/>
              </w:rPr>
              <w:t>THE RATIFICATION OF THE SELECTION OF PRICEWATERHOUSECOOPERS LLP AS OUR INDEPENDENT REGISTERED PUBLIC ACCOUNTING FIRM FOR THE FISCAL YEAR ENDING JUNE 30, 2027.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12" w:before="0" w:after="240"/>
        <w:ind w:left="0" w:right="0" w:hanging="0"/>
        <w:jc w:val="both"/>
        <w:rPr/>
      </w:pPr>
      <w:r>
        <w:rPr/>
        <w:t>​</w:t>
      </w:r>
    </w:p>
    <w:p>
      <w:pPr>
        <w:pStyle w:val="TextBody"/>
        <w:bidi w:val="0"/>
        <w:spacing w:lineRule="auto" w:line="312" w:before="0" w:after="240"/>
        <w:ind w:left="0" w:right="0" w:hanging="0"/>
        <w:jc w:val="both"/>
        <w:rPr/>
      </w:pPr>
      <w:r>
        <w:rPr/>
        <w:t>​</w:t>
      </w:r>
    </w:p>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32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4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2" descr=""/>
                    <pic:cNvPicPr>
                      <a:picLocks noChangeAspect="1" noChangeArrowheads="1"/>
                    </pic:cNvPicPr>
                  </pic:nvPicPr>
                  <pic:blipFill>
                    <a:blip r:embed="rId83"/>
                    <a:stretch>
                      <a:fillRect/>
                    </a:stretch>
                  </pic:blipFill>
                  <pic:spPr bwMode="auto">
                    <a:xfrm>
                      <a:off x="0" y="0"/>
                      <a:ext cx="6876415" cy="474980"/>
                    </a:xfrm>
                    <a:prstGeom prst="rect">
                      <a:avLst/>
                    </a:prstGeom>
                  </pic:spPr>
                </pic:pic>
              </a:graphicData>
            </a:graphic>
          </wp:inline>
        </w:drawing>
      </w:r>
    </w:p>
    <w:p>
      <w:pPr>
        <w:pStyle w:val="TextBody"/>
        <w:bidi w:val="0"/>
        <w:spacing w:before="0" w:after="48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40" w:name="ExecutiveCompensation_449158"/>
      <w:bookmarkStart w:id="41" w:name="_206a1667_451c_4691_8fa6_9b3f70dc39fe"/>
      <w:bookmarkEnd w:id="40"/>
      <w:bookmarkEnd w:id="41"/>
      <w:r>
        <w:rPr>
          <w:rFonts w:ascii="Arial;Helvetica;sans-serif" w:hAnsi="Arial;Helvetica;sans-serif"/>
          <w:b/>
          <w:sz w:val="32"/>
        </w:rPr>
        <w:t>Executive Compensation:</w:t>
        <w:br/>
        <w:t>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is a discussion and analysis of our compensation programs as they apply to our President and Chief Executive Officer, Chief Financial Officer, and the next three most highly compensated executive officers in Fiscal 2026, as listed below (collectively our “named executive officers” or our “NEOs”):</w:t>
      </w:r>
    </w:p>
    <w:tbl>
      <w:tblPr>
        <w:tblW w:w="6002" w:type="dxa"/>
        <w:jc w:val="left"/>
        <w:tblInd w:w="0" w:type="dxa"/>
        <w:tblLayout w:type="fixed"/>
        <w:tblCellMar>
          <w:top w:w="0" w:type="dxa"/>
          <w:left w:w="0" w:type="dxa"/>
          <w:bottom w:w="0" w:type="dxa"/>
          <w:right w:w="0" w:type="dxa"/>
        </w:tblCellMar>
      </w:tblPr>
      <w:tblGrid>
        <w:gridCol w:w="271"/>
        <w:gridCol w:w="5731"/>
      </w:tblGrid>
      <w:tr>
        <w:trPr/>
        <w:tc>
          <w:tcPr>
            <w:tcW w:w="271"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Sanjay Chowbey: President and Chief Executive Officer (“CEO”)</w:t>
            </w:r>
          </w:p>
        </w:tc>
      </w:tr>
    </w:tbl>
    <w:tbl>
      <w:tblPr>
        <w:tblW w:w="6227" w:type="dxa"/>
        <w:jc w:val="left"/>
        <w:tblInd w:w="0" w:type="dxa"/>
        <w:tblLayout w:type="fixed"/>
        <w:tblCellMar>
          <w:top w:w="0" w:type="dxa"/>
          <w:left w:w="0" w:type="dxa"/>
          <w:bottom w:w="0" w:type="dxa"/>
          <w:right w:w="0" w:type="dxa"/>
        </w:tblCellMar>
      </w:tblPr>
      <w:tblGrid>
        <w:gridCol w:w="271"/>
        <w:gridCol w:w="5956"/>
      </w:tblGrid>
      <w:tr>
        <w:trPr/>
        <w:tc>
          <w:tcPr>
            <w:tcW w:w="271" w:type="dxa"/>
            <w:tcBorders/>
            <w:vAlign w:val="center"/>
          </w:tcPr>
          <w:p>
            <w:pPr>
              <w:pStyle w:val="TableContents"/>
              <w:bidi w:val="0"/>
              <w:spacing w:before="0" w:after="283"/>
              <w:jc w:val="left"/>
              <w:rPr/>
            </w:pPr>
            <w:r>
              <w:rPr/>
              <w:t>●</w:t>
            </w:r>
          </w:p>
        </w:tc>
        <w:tc>
          <w:tcPr>
            <w:tcW w:w="5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Patrick Watson: Vice President and Chief Financial Officer (“CFO”)</w:t>
            </w:r>
          </w:p>
        </w:tc>
      </w:tr>
    </w:tbl>
    <w:tbl>
      <w:tblPr>
        <w:tblW w:w="9737" w:type="dxa"/>
        <w:jc w:val="left"/>
        <w:tblInd w:w="0" w:type="dxa"/>
        <w:tblLayout w:type="fixed"/>
        <w:tblCellMar>
          <w:top w:w="0" w:type="dxa"/>
          <w:left w:w="0" w:type="dxa"/>
          <w:bottom w:w="0" w:type="dxa"/>
          <w:right w:w="0" w:type="dxa"/>
        </w:tblCellMar>
      </w:tblPr>
      <w:tblGrid>
        <w:gridCol w:w="271"/>
        <w:gridCol w:w="9466"/>
      </w:tblGrid>
      <w:tr>
        <w:trPr/>
        <w:tc>
          <w:tcPr>
            <w:tcW w:w="271" w:type="dxa"/>
            <w:tcBorders/>
            <w:vAlign w:val="center"/>
          </w:tcPr>
          <w:p>
            <w:pPr>
              <w:pStyle w:val="TableContents"/>
              <w:bidi w:val="0"/>
              <w:spacing w:before="0" w:after="283"/>
              <w:jc w:val="left"/>
              <w:rPr/>
            </w:pPr>
            <w:r>
              <w:rPr/>
              <w:t>●</w:t>
            </w:r>
          </w:p>
        </w:tc>
        <w:tc>
          <w:tcPr>
            <w:tcW w:w="94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Dave Bersaglini: Vice President and President, Metal Cutting Segment (“Metal Cutting Segment President”)</w:t>
            </w:r>
          </w:p>
        </w:tc>
      </w:tr>
    </w:tbl>
    <w:tbl>
      <w:tblPr>
        <w:tblW w:w="9617" w:type="dxa"/>
        <w:jc w:val="left"/>
        <w:tblInd w:w="0" w:type="dxa"/>
        <w:tblLayout w:type="fixed"/>
        <w:tblCellMar>
          <w:top w:w="0" w:type="dxa"/>
          <w:left w:w="0" w:type="dxa"/>
          <w:bottom w:w="0" w:type="dxa"/>
          <w:right w:w="0" w:type="dxa"/>
        </w:tblCellMar>
      </w:tblPr>
      <w:tblGrid>
        <w:gridCol w:w="271"/>
        <w:gridCol w:w="9346"/>
      </w:tblGrid>
      <w:tr>
        <w:trPr/>
        <w:tc>
          <w:tcPr>
            <w:tcW w:w="271" w:type="dxa"/>
            <w:tcBorders/>
            <w:vAlign w:val="center"/>
          </w:tcPr>
          <w:p>
            <w:pPr>
              <w:pStyle w:val="TableContents"/>
              <w:bidi w:val="0"/>
              <w:spacing w:before="0" w:after="283"/>
              <w:jc w:val="left"/>
              <w:rPr/>
            </w:pPr>
            <w:r>
              <w:rPr/>
              <w:t>●</w:t>
            </w:r>
          </w:p>
        </w:tc>
        <w:tc>
          <w:tcPr>
            <w:tcW w:w="93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Faisal Hamadi: Vice President and President, Infrastructure Segment (“Infrastructure Segment President”)</w:t>
            </w:r>
          </w:p>
        </w:tc>
      </w:tr>
    </w:tbl>
    <w:tbl>
      <w:tblPr>
        <w:tblW w:w="8087" w:type="dxa"/>
        <w:jc w:val="left"/>
        <w:tblInd w:w="0" w:type="dxa"/>
        <w:tblLayout w:type="fixed"/>
        <w:tblCellMar>
          <w:top w:w="0" w:type="dxa"/>
          <w:left w:w="0" w:type="dxa"/>
          <w:bottom w:w="0" w:type="dxa"/>
          <w:right w:w="0" w:type="dxa"/>
        </w:tblCellMar>
      </w:tblPr>
      <w:tblGrid>
        <w:gridCol w:w="271"/>
        <w:gridCol w:w="7816"/>
      </w:tblGrid>
      <w:tr>
        <w:trPr/>
        <w:tc>
          <w:tcPr>
            <w:tcW w:w="271" w:type="dxa"/>
            <w:tcBorders/>
            <w:vAlign w:val="center"/>
          </w:tcPr>
          <w:p>
            <w:pPr>
              <w:pStyle w:val="TableContents"/>
              <w:bidi w:val="0"/>
              <w:spacing w:before="0" w:after="283"/>
              <w:jc w:val="left"/>
              <w:rPr/>
            </w:pPr>
            <w:r>
              <w:rPr/>
              <w:t>●</w:t>
            </w:r>
          </w:p>
        </w:tc>
        <w:tc>
          <w:tcPr>
            <w:tcW w:w="781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Michelle R. Keating: Vice President, Secretary and General Counsel (“General Counsel”)</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this Compensation Discussion and Analysis (“CD&amp;A”), we discuss our compensation policies and practices as they relate to our NEOs, compensation decisions made in Fiscal 2026 affecting our NEOs’ compensation, highlights of the Company’s financial performance for Fiscal 2026 and its effect on compensation paid to our NEOs in that year, as well as recent changes we have made to our executive compensation program.</w:t>
      </w:r>
    </w:p>
    <w:p>
      <w:pPr>
        <w:pStyle w:val="TextBody"/>
        <w:bidi w:val="0"/>
        <w:spacing w:before="240" w:after="120"/>
        <w:ind w:left="0" w:right="0" w:hanging="0"/>
        <w:jc w:val="left"/>
        <w:rPr>
          <w:rFonts w:ascii="Arial;Helvetica;sans-serif" w:hAnsi="Arial;Helvetica;sans-serif"/>
          <w:b/>
          <w:sz w:val="24"/>
        </w:rPr>
      </w:pPr>
      <w:bookmarkStart w:id="42" w:name="Fiscal2023Summary_379540"/>
      <w:bookmarkEnd w:id="42"/>
      <w:r>
        <w:rPr>
          <w:rFonts w:ascii="Arial;Helvetica;sans-serif" w:hAnsi="Arial;Helvetica;sans-serif"/>
          <w:b/>
          <w:sz w:val="24"/>
        </w:rPr>
        <w:t>Fiscal 2026 Summary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achieved the following performance in sales, profitability and returns for Fiscal 2026 (see Appendix A for a reconciliation of these non-GAAP financial measures to the comparable GAAP measures):</w:t>
      </w:r>
    </w:p>
    <w:p>
      <w:pPr>
        <w:pStyle w:val="TextBody"/>
        <w:bidi w:val="0"/>
        <w:spacing w:before="0" w:after="0"/>
        <w:ind w:left="0" w:right="0" w:hanging="0"/>
        <w:jc w:val="left"/>
        <w:rPr/>
      </w:pPr>
      <w:r>
        <w:rPr/>
        <w:t>​</w:t>
      </w:r>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Sales of $2.4 billion for Fiscal 2026, compared with sales of $2.0 billion for Fiscal 2025.</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income attributable to Kennametal for Fiscal 2026 was $342.4 million, compared to $93.1 million in Fiscal 2025.</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Earnings Before Interest, Taxes, Depreciation and Amortization (“EBITDA”) for Fiscal 2026 was $623 million, or 26.4% EBITDA margin. Adjusted EBITDA for Fiscal 2026 was $634 million, or 26.9% Adjusted EBITDA margin. EBITDA for Fiscal 2025 was $285 million, or 14.5% EBITDA margin. Adjusted EBITDA for Fiscal 2025 was $299 million, or 15.2% Adjusted EBITDA margin. </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Return on Invested Capital (“ROIC”) for Fiscal 2026 was 18.3% compared with 6.2% in Fiscal 2025. Adjusted ROIC for Fiscal 2026 was 18.8% compared with Adjusted ROIC of 6.8% in Fiscal 2025.</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Primary Working Capital was $1,147 million as of June 30, 2026, compared to $638 million as of June 30, 2025. Primary Working Capital as a Percent of Sales (“PWCPS”) was 33.5% as of June 30, 2026, compared to 31.9% as of June 30, 2025.</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33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4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3" descr=""/>
                    <pic:cNvPicPr>
                      <a:picLocks noChangeAspect="1" noChangeArrowheads="1"/>
                    </pic:cNvPicPr>
                  </pic:nvPicPr>
                  <pic:blipFill>
                    <a:blip r:embed="rId84"/>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 xml:space="preserve">Changes to Executive Compensation Arrangements in Fiscal 2026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At its June 2025 meeting, the Compensation and Human Capital Committee (the “Committee”) modified the NEO’s Annual Incentive Plan (“AIP”) metrics for Fiscal 2026. For all NEOs, the weighting of Corporate Primary Working Capital as a Percent of Sales (“PWCPS”) was reduced from 30% to 20% to allow for a 10% weighting on nonfinancial goals. One-fourth of the nonfinancial goals was tied to a key enterprise safety metric while the remainder was linked to an individual rating based on a combination of individual objectives and the behaviors around our cultural beliefs and corporate values. The ESG modifier of +/- 10% was removed for all NEOs. The two Segment Presidents had their weightings of Segment Revenue and Segment Adjusted EBIT increased to 25% and 20% (from 20% and 15%), respectively, and their weighting on Corporate Adjusted EBITDA reduced from 35% to 25%.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Fiscal 2026, the corporate NEOs had three financial metrics in addition to the nonfinancial goals (weighted at 10%) as follows:  Kennametal Revenue (weighted at 20%), Kennametal Adjusted EBITDA (weighted at 50%), and Kennametal PWCPS (weighted at 20%). The Segment Presidents had four financial metrics in addition to the nonfinancial goals (weighted at 10%) as follows:  Segment Revenue (weighted at 25%), Kennametal Adjusted EBITDA (weighted at 25%),  Segment Adjusted EBIT (weighted at 20%), and Kennametal PWCPS (weighted at 20%).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long-term incentive program (“LTIP”) was also modified for Fiscal 2026. For all NEOs, the PSU weightings of Adjusted ROIC and Adjusted EBITDA Margin were changed from two-thirds and one-third, respectively, to equal (50%) weighting on both metrics. We continued our practice to grant 60% of the target value of each executive’s long-term incentive opportunity as PSUs and 40% as RSUs. Special LTIP retention awards in the form of RSUs were granted on October 1, 2025, to ensure leadership continuity as the leadership team evaluated strategic initiatives in Fiscal 2026. These RSUs had a one-year vesting period and a grant date value equal to their base salaries on the grant date.</w:t>
      </w:r>
    </w:p>
    <w:p>
      <w:pPr>
        <w:pStyle w:val="TextBody"/>
        <w:bidi w:val="0"/>
        <w:spacing w:before="240" w:after="120"/>
        <w:ind w:left="0" w:right="0" w:hanging="0"/>
        <w:jc w:val="left"/>
        <w:rPr>
          <w:rFonts w:ascii="Arial;Helvetica;sans-serif" w:hAnsi="Arial;Helvetica;sans-serif"/>
          <w:b/>
          <w:sz w:val="24"/>
        </w:rPr>
      </w:pPr>
      <w:bookmarkStart w:id="43" w:name="ExecutiveCompensationHighlightsforFiscal"/>
      <w:bookmarkEnd w:id="43"/>
      <w:r>
        <w:rPr>
          <w:rFonts w:ascii="Arial;Helvetica;sans-serif" w:hAnsi="Arial;Helvetica;sans-serif"/>
          <w:b/>
          <w:sz w:val="24"/>
        </w:rPr>
        <w:t xml:space="preserve">Executive Compensation Highlights for Fiscal 2026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are the highlights of our 2026 executive compensation program:</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has adopted a strong pay-for-performance philosophy which is evaluated on an annual basis through a realizable pay-for-performance alignment assessment for the CEO position conducted by the Committee’s independent consultant. This assessment has revealed strong alignment between our CEO’s historical realizable compensation and our company’s performance compared to peers over the past three years.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Compensation is paid in a mix of base salary, annual cash-based incentives under our AIP, and equity-based long-term incentive awards.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Compensation is significantly tied to Company and Segment financial and stock performance, so that a substantial portion of the compensation provided to our executive officers is performance-based and at risk.</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has adopted certain design methodologies in our incentive arrangements to help mitigate the impact of cyclicality, commodity exposure and other factors which can impact performance goals established by the Committee and actual payouts received by executives. These methodologies include: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cash-based incentive plan: “first half” and “second half” goal setting for certain metrics that comprise 70% of the AIP weight, which provides the Committee with better insights into economic conditions that can rapidly impact our business either positively or negatively. Unless for special approved circumstances, no payments are made until the end of the fiscal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PSU plan: Adjusted ROIC performance goals established annually for each fiscal year. Unless for special approved circumstances, no awards are paid until following the full three-year performance period. The Committee adopted this methodology to alleviate instances where rapidly changing economic conditions render performance goals either not challenging (goals set in an economic trough) or unachievable early in the three-year performance period which can result in retention risks. Adjusted ROIC performance goals and related payouts for Fiscal 2026 were approved by the Committee in July 2025. Adjusted ROIC performance goals for </w:t>
            </w:r>
          </w:p>
        </w:tc>
      </w:tr>
    </w:tbl>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34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4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4" descr=""/>
                    <pic:cNvPicPr>
                      <a:picLocks noChangeAspect="1" noChangeArrowheads="1"/>
                    </pic:cNvPicPr>
                  </pic:nvPicPr>
                  <pic:blipFill>
                    <a:blip r:embed="rId85"/>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Fiscal 2027 and Fiscal 2028 will be determined near the beginning of each of the subsequent fiscal years. The Committee approved the Average Adjusted EBITDA Margin goal and related payouts at its July 2025 meeting for the full three-year performance period.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Payment of annual cash-based incentives under the AIP is based on achieving critical measures of Company and Segment performance, consistent with our pay-for-performance philosophy. Payments earned under the Fiscal 2026 AIP were based on financial metrics with two six-month performance periods and one financial metric with a twelve-month performance period, while the nonfinancial goals were measured over the full fiscal year. The financial metrics and weightings are described above in the section </w:t>
            </w:r>
            <w:r>
              <w:rPr/>
              <w:t>“</w:t>
            </w:r>
            <w:r>
              <w:rPr>
                <w:rFonts w:ascii="Arial;Helvetica;sans-serif" w:hAnsi="Arial;Helvetica;sans-serif"/>
                <w:b w:val="false"/>
                <w:i/>
                <w:sz w:val="20"/>
              </w:rPr>
              <w:t>Changes to Executive Compensation Arrangements in Fiscal 2026.”  </w:t>
            </w:r>
            <w:r>
              <w:rPr>
                <w:rFonts w:ascii="Arial;Helvetica;sans-serif" w:hAnsi="Arial;Helvetica;sans-serif"/>
                <w:b w:val="false"/>
                <w:i w:val="false"/>
                <w:caps w:val="false"/>
                <w:smallCaps w:val="false"/>
                <w:sz w:val="20"/>
              </w:rPr>
              <w:t>Unless for special approved circumstances, no award earned is paid prior to the end of the fiscal year.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equity-based long-term incentive program is intended to drive the achievement of critical long-term business objectives, align management’s interests with those of our shareowners and foster retention of key executives. In Fiscal 2026, 60% of the target value of each executive’s long-term incentive opportunity was granted as PSUs and 40% was granted as RSUs, all of which are settled in stock. Unless for special approved circumstances, RSUs continue to vest at the rate of one-third per year on each grant date anniversary over three years.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Vesting of Fiscal 2026 PSUs is based on the attainment of an Adjusted ROIC financial performance goal (50% weight) and Average Adjusted EBITDA Margin (50% weight). PSUs are subject to an additional continuous service requirement, which provides that award recipients must remain employed by the Company through the distribution date to receive the units, which, unless for special approved circumstances, is three years after the grant date. For Fiscal 2026, only one-third of the Adjusted ROIC component of the FY2026-2028 PSU award will be reported in the subsequent tables following the Compensation and Human Capital Committee Report, as financial targets for remaining tranches will be set at or near the beginning of each subsequent fiscal year. Accordingly, only the Fiscal 2026 tranche for Adjusted ROIC performance is included as part of the grant under applicable disclosure rules in the tables below. The remaining tranches will be reported as separate grants when the applicable PSU targets are established.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general practice, AIP awards are not paid prior to the end of the fiscal year. Also, as a general practice, RSUs and PSUs will not have accelerated vesting. However, for compensation planning purposes and to promote leadership stability during a time of market uncertainty and some volatility in the Company’s stock price in calendar year 2025, the Committee took the following actions related to NEO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 of the NEOs’ Fiscal 2026 AIP targets were paid in December 2025, and a final true-up payment occurred based on the actual Fiscal 2026 performance following the Committee’s certification at the July 2026 Committee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RSUs granted as annual awards in Fiscal 2024 and Fiscal 2025 and scheduled to vest in Fiscal 2026 had their vesting accelerated to December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PSUs granted in Fiscal 2024 and earned in Fiscal 2024 and Fiscal 2025 due to Adjusted ROIC completed performance periods and scheduled to vest in Fiscal 2026 had their vesting accelerated to December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Associated with these payments and vesting events, the NEOs signed clawback agreements that required repayment of all accelerated cash and equity-based amounts if they were to voluntarily end their employment with the company prior to August 15, 2026.</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35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4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5" descr=""/>
                    <pic:cNvPicPr>
                      <a:picLocks noChangeAspect="1" noChangeArrowheads="1"/>
                    </pic:cNvPicPr>
                  </pic:nvPicPr>
                  <pic:blipFill>
                    <a:blip r:embed="rId86"/>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Fiscal 2026 financial and nonfinancial performance had the following effects on the performance-based awards held by our NEOs:</w:t>
      </w:r>
    </w:p>
    <w:p>
      <w:pPr>
        <w:pStyle w:val="TextBody"/>
        <w:bidi w:val="0"/>
        <w:spacing w:before="240" w:after="120"/>
        <w:ind w:left="504" w:right="0" w:hanging="0"/>
        <w:jc w:val="left"/>
        <w:rPr>
          <w:rFonts w:ascii="Arial;Helvetica;sans-serif" w:hAnsi="Arial;Helvetica;sans-serif"/>
          <w:b/>
          <w:sz w:val="24"/>
        </w:rPr>
      </w:pPr>
      <w:r>
        <w:rPr>
          <w:rFonts w:ascii="Arial;Helvetica;sans-serif" w:hAnsi="Arial;Helvetica;sans-serif"/>
          <w:b/>
          <w:sz w:val="24"/>
        </w:rPr>
        <w:t>Fiscal 2026 AIP</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Fiscal 2026, including “first half” and “second half” performance, the total payout for twelve months was as follows, based on performance against our financial metrics and including the nonfinancial goals: Mr. Chowbey’s AIP award was earned at 146.0% of target; Mr. Watson and Ms. Keating’s  were earned at 145.5% of target; Mr. Bersaglini’s  was  earned at 143.1% of target; and Mr. Hamadi’s was earned at 147.7% of target.  </w:t>
            </w:r>
          </w:p>
        </w:tc>
      </w:tr>
    </w:tbl>
    <w:p>
      <w:pPr>
        <w:pStyle w:val="TextBody"/>
        <w:bidi w:val="0"/>
        <w:spacing w:before="240" w:after="120"/>
        <w:ind w:left="504" w:right="0" w:hanging="0"/>
        <w:jc w:val="left"/>
        <w:rPr>
          <w:rFonts w:ascii="Arial;Helvetica;sans-serif" w:hAnsi="Arial;Helvetica;sans-serif"/>
          <w:b/>
          <w:sz w:val="24"/>
        </w:rPr>
      </w:pPr>
      <w:r>
        <w:rPr>
          <w:rFonts w:ascii="Arial;Helvetica;sans-serif" w:hAnsi="Arial;Helvetica;sans-serif"/>
          <w:b/>
          <w:sz w:val="24"/>
        </w:rPr>
        <w:t>Performance Stock Units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first of three tranches of the 2026 PSUs tied to Adjusted ROIC achieved performance at a 200% multiple of target. Average Adjusted EBITDA Margin is yet to be calculated for the three-year period ending June 30, 2028. No payment has been made under the 2026 PSUs.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second of three tranches of the 2025 PSUs tied to Adjusted ROIC achieved performance, at a 200% multiple of target. The tranche tied to Average Adjusted EBITDA Margin is yet to be calculated for the three-year period ending June 30, 2027. No payment has been made under the 2025 PSUs.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third of three tranches of the 2024 PSUs tied to Adjusted ROIC achieved performance at a 200% multiple of target, and when combined with the first and second tranches tied to Adjusted ROIC, the three tranches achieved 116.1% multiple of target and comprised 66.66% of the number of PSUs awarded. The tranche tied to Average Adjusted EBITDA Margin, which comprised 33.34% of the number of PSUs awarded, achieved performance at a 200% payout multiple of target over the three-year performance period. The cumulative total payout multiple was 144.1% of target for the combined three years of ROIC performance (fiscal years 2024, 2025, and 2026) and Average Adjusted EBITDA Margin for fiscal years 2024 through 2026.</w:t>
            </w:r>
          </w:p>
        </w:tc>
      </w:tr>
    </w:tbl>
    <w:p>
      <w:pPr>
        <w:pStyle w:val="TextBody"/>
        <w:shd w:fill="FFFFFF" w:val="clear"/>
        <w:bidi w:val="0"/>
        <w:spacing w:before="0" w:after="0"/>
        <w:ind w:left="0" w:right="0" w:hanging="0"/>
        <w:jc w:val="left"/>
        <w:rPr>
          <w:rFonts w:ascii="Arial;Helvetica;sans-serif" w:hAnsi="Arial;Helvetica;sans-serif"/>
          <w:b/>
          <w:sz w:val="24"/>
        </w:rPr>
      </w:pPr>
      <w:r>
        <w:rPr>
          <w:rFonts w:ascii="Arial;Helvetica;sans-serif" w:hAnsi="Arial;Helvetica;sans-serif"/>
          <w:b/>
          <w:sz w:val="24"/>
        </w:rPr>
        <w:t xml:space="preserve">Results of 2025 Shareowner Vote on NEO Compensation </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Our shareowners overwhelmingly approved the compensation paid to our NEOs in Fiscal 2025, with approximately 99% of votes cast in favor of the advisory vote on executive compensation presented at our Annual Meeting held on October 28, 2025.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believes that this high level of support for the compensation paid in Fiscal 2025 illustrates our shareowners’ support of our pay-for-performance philosophy, which is designed to link the compensation paid to our NEOs to the Company’s financial performance and shareowner value. Accordingly, in determining the structure of the compensation of our NEOs for Fiscal 2026, the Committee decided to retain our general approach to executive compensation, with an emphasis on performance-based incentive compensation components that reward our executives when they deliver value to the Company and our shareowners.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Executive Compensation Philosophy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Kennametal’s executive compensation philosophy is based on the following principles, which we believe form the foundation of an effective and responsible compensation program:</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Pay-for-Performance</w:t>
            </w:r>
            <w:r>
              <w:rPr>
                <w:rFonts w:ascii="Arial;Helvetica;sans-serif" w:hAnsi="Arial;Helvetica;sans-serif"/>
                <w:b w:val="false"/>
                <w:i w:val="false"/>
                <w:caps w:val="false"/>
                <w:smallCaps w:val="false"/>
                <w:sz w:val="20"/>
              </w:rPr>
              <w:t xml:space="preserve">. Executive compensation should be tied to both individual performance and Company performance (annual through the AIP performance component and long-term through the grant values of the LTIP awards). Individual performance may be reflected in the annual merit increase, the individual rating as part of the AIP, and/or in the annual LTIP award value.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Align the Ratio of Fixed to Variable Components of Compensation with the Executive’s Level of Responsibility and Accountability</w:t>
            </w:r>
            <w:r>
              <w:rPr>
                <w:rFonts w:ascii="Arial;Helvetica;sans-serif" w:hAnsi="Arial;Helvetica;sans-serif"/>
                <w:b w:val="false"/>
                <w:i w:val="false"/>
                <w:caps w:val="false"/>
                <w:smallCaps w:val="false"/>
                <w:sz w:val="20"/>
              </w:rPr>
              <w:t>. As executives progress to higher levels of responsibility within the Company, a greater proportion of their overall compensation should be variable and linked directly to Company performance and stock price.</w:t>
            </w:r>
          </w:p>
        </w:tc>
      </w:tr>
    </w:tbl>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36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4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6" descr=""/>
                    <pic:cNvPicPr>
                      <a:picLocks noChangeAspect="1" noChangeArrowheads="1"/>
                    </pic:cNvPicPr>
                  </pic:nvPicPr>
                  <pic:blipFill>
                    <a:blip r:embed="rId87"/>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Promote a Long-Term Perspective</w:t>
            </w:r>
            <w:r>
              <w:rPr>
                <w:rFonts w:ascii="Arial;Helvetica;sans-serif" w:hAnsi="Arial;Helvetica;sans-serif"/>
                <w:b w:val="false"/>
                <w:i w:val="false"/>
                <w:caps w:val="false"/>
                <w:smallCaps w:val="false"/>
                <w:sz w:val="20"/>
              </w:rPr>
              <w:t>. Our compensation program should promote the long-term focus and strategic vision required for our future growth and success.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Offer Competitive Compensation</w:t>
            </w:r>
            <w:r>
              <w:rPr>
                <w:rFonts w:ascii="Arial;Helvetica;sans-serif" w:hAnsi="Arial;Helvetica;sans-serif"/>
                <w:b w:val="false"/>
                <w:i w:val="false"/>
                <w:caps w:val="false"/>
                <w:smallCaps w:val="false"/>
                <w:sz w:val="20"/>
              </w:rPr>
              <w:t>. We believe that highly qualified and skilled executives can provide differentiation and a competitive advantage in the marketplace. Our objective is to offer compensation that is competitive with that offered by other companies that we compete with for talent.</w:t>
            </w:r>
          </w:p>
        </w:tc>
      </w:tr>
    </w:tbl>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Objectives of the Executive Compensation Program</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To support our overall compensation philosophy, we have designed our executive compensation program to:</w:t>
      </w:r>
    </w:p>
    <w:tbl>
      <w:tblPr>
        <w:tblW w:w="9932" w:type="dxa"/>
        <w:jc w:val="left"/>
        <w:tblInd w:w="0" w:type="dxa"/>
        <w:tblLayout w:type="fixed"/>
        <w:tblCellMar>
          <w:top w:w="0" w:type="dxa"/>
          <w:left w:w="0" w:type="dxa"/>
          <w:bottom w:w="0" w:type="dxa"/>
          <w:right w:w="0" w:type="dxa"/>
        </w:tblCellMar>
      </w:tblPr>
      <w:tblGrid>
        <w:gridCol w:w="271"/>
        <w:gridCol w:w="9661"/>
      </w:tblGrid>
      <w:tr>
        <w:trPr/>
        <w:tc>
          <w:tcPr>
            <w:tcW w:w="271" w:type="dxa"/>
            <w:tcBorders/>
            <w:vAlign w:val="center"/>
          </w:tcPr>
          <w:p>
            <w:pPr>
              <w:pStyle w:val="TableContents"/>
              <w:bidi w:val="0"/>
              <w:spacing w:before="0" w:after="283"/>
              <w:jc w:val="left"/>
              <w:rPr/>
            </w:pPr>
            <w:r>
              <w:rPr/>
              <w:t>●</w:t>
            </w:r>
          </w:p>
        </w:tc>
        <w:tc>
          <w:tcPr>
            <w:tcW w:w="96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executive compensation at a competitive level to attract, motivate, and retain high-performing talent;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Focus our executives’ attention on the attainment of significant business objectives that align with our business strategy and the creation of long-term shareowner value;</w:t>
            </w:r>
          </w:p>
        </w:tc>
      </w:tr>
    </w:tbl>
    <w:tbl>
      <w:tblPr>
        <w:tblW w:w="8522" w:type="dxa"/>
        <w:jc w:val="left"/>
        <w:tblInd w:w="0" w:type="dxa"/>
        <w:tblLayout w:type="fixed"/>
        <w:tblCellMar>
          <w:top w:w="0" w:type="dxa"/>
          <w:left w:w="0" w:type="dxa"/>
          <w:bottom w:w="0" w:type="dxa"/>
          <w:right w:w="0" w:type="dxa"/>
        </w:tblCellMar>
      </w:tblPr>
      <w:tblGrid>
        <w:gridCol w:w="271"/>
        <w:gridCol w:w="8251"/>
      </w:tblGrid>
      <w:tr>
        <w:trPr/>
        <w:tc>
          <w:tcPr>
            <w:tcW w:w="271" w:type="dxa"/>
            <w:tcBorders/>
            <w:vAlign w:val="center"/>
          </w:tcPr>
          <w:p>
            <w:pPr>
              <w:pStyle w:val="TableContents"/>
              <w:bidi w:val="0"/>
              <w:spacing w:before="0" w:after="283"/>
              <w:jc w:val="left"/>
              <w:rPr/>
            </w:pPr>
            <w:r>
              <w:rPr/>
              <w:t>●</w:t>
            </w:r>
          </w:p>
        </w:tc>
        <w:tc>
          <w:tcPr>
            <w:tcW w:w="82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 alignment between management’s interests and the interests of our shareowners; and</w:t>
            </w:r>
          </w:p>
        </w:tc>
      </w:tr>
    </w:tbl>
    <w:tbl>
      <w:tblPr>
        <w:tblW w:w="5702" w:type="dxa"/>
        <w:jc w:val="left"/>
        <w:tblInd w:w="0" w:type="dxa"/>
        <w:tblLayout w:type="fixed"/>
        <w:tblCellMar>
          <w:top w:w="0" w:type="dxa"/>
          <w:left w:w="0" w:type="dxa"/>
          <w:bottom w:w="0" w:type="dxa"/>
          <w:right w:w="0" w:type="dxa"/>
        </w:tblCellMar>
      </w:tblPr>
      <w:tblGrid>
        <w:gridCol w:w="271"/>
        <w:gridCol w:w="5431"/>
      </w:tblGrid>
      <w:tr>
        <w:trPr/>
        <w:tc>
          <w:tcPr>
            <w:tcW w:w="271" w:type="dxa"/>
            <w:tcBorders/>
            <w:vAlign w:val="center"/>
          </w:tcPr>
          <w:p>
            <w:pPr>
              <w:pStyle w:val="TableContents"/>
              <w:bidi w:val="0"/>
              <w:spacing w:before="0" w:after="283"/>
              <w:jc w:val="left"/>
              <w:rPr/>
            </w:pPr>
            <w:r>
              <w:rPr/>
              <w:t>●</w:t>
            </w:r>
          </w:p>
        </w:tc>
        <w:tc>
          <w:tcPr>
            <w:tcW w:w="54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 the financial benefits of strong Company performance.</w:t>
            </w:r>
          </w:p>
        </w:tc>
      </w:tr>
    </w:tbl>
    <w:p>
      <w:pPr>
        <w:pStyle w:val="TextBody"/>
        <w:bidi w:val="0"/>
        <w:spacing w:before="240" w:after="120"/>
        <w:ind w:left="0" w:right="0" w:hanging="0"/>
        <w:jc w:val="left"/>
        <w:rPr>
          <w:rFonts w:ascii="Arial;Helvetica;sans-serif" w:hAnsi="Arial;Helvetica;sans-serif"/>
          <w:b/>
          <w:sz w:val="24"/>
        </w:rPr>
      </w:pPr>
      <w:bookmarkStart w:id="44" w:name="RelationshipBetweenPayandPerformance_550"/>
      <w:bookmarkEnd w:id="44"/>
      <w:r>
        <w:rPr>
          <w:rFonts w:ascii="Arial;Helvetica;sans-serif" w:hAnsi="Arial;Helvetica;sans-serif"/>
          <w:b/>
          <w:sz w:val="24"/>
        </w:rPr>
        <w:t>Relationship Between Pay and Performance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January 2026, the Committee reviewed the relationship between our CEO’s “realizable compensation” (defined below) and the Company’s performance from Fiscal 2023 through Fiscal 2025 (the “Reviewed Period”) for which period both compensation and performance data were readily available for our peers. The analysis, which was prepared by the Committee’s independent consultant, Pay Governance, compared our CEO’s realizable compensation and the Company’s performance, relative to our peer group, to assess whether the Company’s performance and the realizable compensation paid to our CEO were aligned. The Committee believes this analysis helps to support our pay-for-performance philosophy.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Realizable compensation is defined as (i) base salary paid over the Reviewed Period; (ii) actual bonus earned and paid during the Reviewed Period; (iii) the aggregate current value of restricted stock/restricted unit grants made during the Reviewed Period; (iv) the aggregate in-the-money value of stock option grants made during the Reviewed Period; (v) the actual payouts of performance-based equity awards with performance periods beginning and ending during the Reviewed Period; and (vi) the estimated payout for performance-based equity awards that were granted during the Reviewed Period but remained unvested at its conclusion. Realizable compensation for our CEO was calculated in the same manner as for the CEOs of our peer group companies. The realizable value of long-term equity-based awards was calculated using each company’s closing stock price on June 30, 2025.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believes that realizable compensation is a relevant measure for analyzing the pay-for-performance alignment, which may be more meaningful than grant date or target compensation. Realizable compensation focuses on the actual value of earned pay rather than pay opportunity by analyzing current stock prices and actual payouts from short-term and long-term incentives to provide an estimate of the actual compensation that executives realized during the subject period. The required grant date and target compensation amounts are reported in the Executive Compensation Tables of this Proxy Statement.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financial performance of the Company and the peer companies was evaluated over the Reviewed Period using the following four performance measures: (i) EBITDA margin; (ii) EBITDA growth; (iii) ROIC; and (iv) TSR. These measures were selected because some are, or have been, used in the Company’s short-term and/or long-term incentive plans and are considered by proxy advisors and our compensation consultant to be reasonable indicators of a company’s performance. The Company’s percentile ranking for each performance measure relative to the peers was averaged to form a composite performance ranking.</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Over the Reviewed Period, our CEO’s realizable compensation ranked below the median (38th percentile) of the peer group and our composite performance (average ranking of all performance metrics) ranked below the median (15th percentile) of the peer group, resulting in a sufficiently strong composite net correlation. The Committee continues to analyze the </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37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5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7" descr=""/>
                    <pic:cNvPicPr>
                      <a:picLocks noChangeAspect="1" noChangeArrowheads="1"/>
                    </pic:cNvPicPr>
                  </pic:nvPicPr>
                  <pic:blipFill>
                    <a:blip r:embed="rId88"/>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alignment of realizable compensation and the Company’s performance, in addition to grant date value comparisons, to observe such things as:</w:t>
      </w:r>
    </w:p>
    <w:tbl>
      <w:tblPr>
        <w:tblW w:w="6257" w:type="dxa"/>
        <w:jc w:val="left"/>
        <w:tblInd w:w="0" w:type="dxa"/>
        <w:tblLayout w:type="fixed"/>
        <w:tblCellMar>
          <w:top w:w="0" w:type="dxa"/>
          <w:left w:w="0" w:type="dxa"/>
          <w:bottom w:w="0" w:type="dxa"/>
          <w:right w:w="0" w:type="dxa"/>
        </w:tblCellMar>
      </w:tblPr>
      <w:tblGrid>
        <w:gridCol w:w="271"/>
        <w:gridCol w:w="5986"/>
      </w:tblGrid>
      <w:tr>
        <w:trPr/>
        <w:tc>
          <w:tcPr>
            <w:tcW w:w="271" w:type="dxa"/>
            <w:tcBorders/>
            <w:vAlign w:val="center"/>
          </w:tcPr>
          <w:p>
            <w:pPr>
              <w:pStyle w:val="TableContents"/>
              <w:bidi w:val="0"/>
              <w:spacing w:before="0" w:after="283"/>
              <w:jc w:val="left"/>
              <w:rPr/>
            </w:pPr>
            <w:r>
              <w:rPr/>
              <w:t>●</w:t>
            </w:r>
          </w:p>
        </w:tc>
        <w:tc>
          <w:tcPr>
            <w:tcW w:w="59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targeted pay levels relative to our peers is appropriate;</w:t>
            </w:r>
          </w:p>
        </w:tc>
      </w:tr>
    </w:tbl>
    <w:tbl>
      <w:tblPr>
        <w:tblW w:w="7337" w:type="dxa"/>
        <w:jc w:val="left"/>
        <w:tblInd w:w="0" w:type="dxa"/>
        <w:tblLayout w:type="fixed"/>
        <w:tblCellMar>
          <w:top w:w="0" w:type="dxa"/>
          <w:left w:w="0" w:type="dxa"/>
          <w:bottom w:w="0" w:type="dxa"/>
          <w:right w:w="0" w:type="dxa"/>
        </w:tblCellMar>
      </w:tblPr>
      <w:tblGrid>
        <w:gridCol w:w="271"/>
        <w:gridCol w:w="7066"/>
      </w:tblGrid>
      <w:tr>
        <w:trPr/>
        <w:tc>
          <w:tcPr>
            <w:tcW w:w="271" w:type="dxa"/>
            <w:tcBorders/>
            <w:vAlign w:val="center"/>
          </w:tcPr>
          <w:p>
            <w:pPr>
              <w:pStyle w:val="TableContents"/>
              <w:bidi w:val="0"/>
              <w:spacing w:before="0" w:after="283"/>
              <w:jc w:val="left"/>
              <w:rPr/>
            </w:pPr>
            <w:r>
              <w:rPr/>
              <w:t>●</w:t>
            </w:r>
          </w:p>
        </w:tc>
        <w:tc>
          <w:tcPr>
            <w:tcW w:w="70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mix of fixed versus variable incentive compensation is appropriate;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performance goals have been set at appropriately challenging and achievable levels over the Reviewed Period;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weighting assigned to each long-term incentive vehicle is weighted appropriately resulting in an acceptable amount of leverage.</w:t>
            </w:r>
          </w:p>
        </w:tc>
      </w:tr>
    </w:tbl>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Based on this analysis, the Committee is satisfied with the alignment of our CEO’s realizable compensation with the performance of the Company during the Reviewed Period. The chart below provides an illustration of this realizable pay-for-performance analysis over the Reviewed Period. The Committee expects to continue to review and present the alignment of compensation with the Company’s financial performance, including as required to comply with regulations issued by the Securities and Exchange Commission.</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633595"/>
            <wp:effectExtent l="0" t="0" r="0" b="0"/>
            <wp:docPr id="15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88" descr=""/>
                    <pic:cNvPicPr>
                      <a:picLocks noChangeAspect="1" noChangeArrowheads="1"/>
                    </pic:cNvPicPr>
                  </pic:nvPicPr>
                  <pic:blipFill>
                    <a:blip r:embed="rId89"/>
                    <a:stretch>
                      <a:fillRect/>
                    </a:stretch>
                  </pic:blipFill>
                  <pic:spPr bwMode="auto">
                    <a:xfrm>
                      <a:off x="0" y="0"/>
                      <a:ext cx="6858000" cy="4633595"/>
                    </a:xfrm>
                    <a:prstGeom prst="rect">
                      <a:avLst/>
                    </a:prstGeom>
                  </pic:spPr>
                </pic:pic>
              </a:graphicData>
            </a:graphic>
          </wp:inline>
        </w:drawing>
      </w:r>
    </w:p>
    <w:p>
      <w:pPr>
        <w:pStyle w:val="TextBody"/>
        <w:bidi w:val="0"/>
        <w:spacing w:before="0" w:after="240"/>
        <w:ind w:left="0" w:right="0" w:hanging="0"/>
        <w:jc w:val="center"/>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38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5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9" descr=""/>
                    <pic:cNvPicPr>
                      <a:picLocks noChangeAspect="1" noChangeArrowheads="1"/>
                    </pic:cNvPicPr>
                  </pic:nvPicPr>
                  <pic:blipFill>
                    <a:blip r:embed="rId90"/>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120"/>
        <w:ind w:left="0" w:right="0" w:hanging="0"/>
        <w:jc w:val="left"/>
        <w:rPr>
          <w:rFonts w:ascii="Arial;Helvetica;sans-serif" w:hAnsi="Arial;Helvetica;sans-serif"/>
          <w:b/>
          <w:sz w:val="24"/>
        </w:rPr>
      </w:pPr>
      <w:bookmarkStart w:id="45" w:name="DesignofOurExecutiveCompensationProgram_"/>
      <w:bookmarkEnd w:id="45"/>
      <w:r>
        <w:rPr>
          <w:rFonts w:ascii="Arial;Helvetica;sans-serif" w:hAnsi="Arial;Helvetica;sans-serif"/>
          <w:b/>
          <w:sz w:val="24"/>
        </w:rPr>
        <w:t>Design of Our Executive Compensation Program</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Overall Design of the Executive Compensation Program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Each of our executives receives a compensation and benefits package comprised of some or all of the four basic components described in the table below which also provides an explanation of why we provide the particular compensation component, how we determine the amount for tenured executives in their current roles and what such compensation component is designed to reward.</w:t>
      </w:r>
    </w:p>
    <w:tbl>
      <w:tblPr>
        <w:tblW w:w="10205" w:type="dxa"/>
        <w:jc w:val="left"/>
        <w:tblInd w:w="0" w:type="dxa"/>
        <w:tblLayout w:type="fixed"/>
        <w:tblCellMar>
          <w:top w:w="0" w:type="dxa"/>
          <w:left w:w="0" w:type="dxa"/>
          <w:bottom w:w="0" w:type="dxa"/>
          <w:right w:w="0" w:type="dxa"/>
        </w:tblCellMar>
      </w:tblPr>
      <w:tblGrid>
        <w:gridCol w:w="1839"/>
        <w:gridCol w:w="1565"/>
        <w:gridCol w:w="4447"/>
        <w:gridCol w:w="2354"/>
      </w:tblGrid>
      <w:tr>
        <w:trPr/>
        <w:tc>
          <w:tcPr>
            <w:tcW w:w="1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67765" cy="175260"/>
                      <wp:effectExtent l="0" t="0" r="0" b="0"/>
                      <wp:wrapNone/>
                      <wp:docPr id="153" name="Frame64"/>
                      <a:graphic xmlns:a="http://schemas.openxmlformats.org/drawingml/2006/main">
                        <a:graphicData uri="http://schemas.microsoft.com/office/word/2010/wordprocessingShape">
                          <wps:wsp>
                            <wps:cNvSpPr txBox="1"/>
                            <wps:spPr>
                              <a:xfrm>
                                <a:off x="0" y="0"/>
                                <a:ext cx="1167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93775" cy="175260"/>
                      <wp:effectExtent l="0" t="0" r="0" b="0"/>
                      <wp:wrapNone/>
                      <wp:docPr id="154" name="Frame65"/>
                      <a:graphic xmlns:a="http://schemas.openxmlformats.org/drawingml/2006/main">
                        <a:graphicData uri="http://schemas.microsoft.com/office/word/2010/wordprocessingShape">
                          <wps:wsp>
                            <wps:cNvSpPr txBox="1"/>
                            <wps:spPr>
                              <a:xfrm>
                                <a:off x="0" y="0"/>
                                <a:ext cx="993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823845" cy="175260"/>
                      <wp:effectExtent l="0" t="0" r="0" b="0"/>
                      <wp:wrapNone/>
                      <wp:docPr id="155" name="Frame66"/>
                      <a:graphic xmlns:a="http://schemas.openxmlformats.org/drawingml/2006/main">
                        <a:graphicData uri="http://schemas.microsoft.com/office/word/2010/wordprocessingShape">
                          <wps:wsp>
                            <wps:cNvSpPr txBox="1"/>
                            <wps:spPr>
                              <a:xfrm>
                                <a:off x="0" y="0"/>
                                <a:ext cx="282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94790" cy="175260"/>
                      <wp:effectExtent l="0" t="0" r="0" b="0"/>
                      <wp:wrapNone/>
                      <wp:docPr id="156" name="Frame67"/>
                      <a:graphic xmlns:a="http://schemas.openxmlformats.org/drawingml/2006/main">
                        <a:graphicData uri="http://schemas.microsoft.com/office/word/2010/wordprocessingShape">
                          <wps:wsp>
                            <wps:cNvSpPr txBox="1"/>
                            <wps:spPr>
                              <a:xfrm>
                                <a:off x="0" y="0"/>
                                <a:ext cx="149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9" w:type="dxa"/>
            <w:tcBorders>
              <w:right w:val="single" w:sz="2" w:space="0" w:color="7F7F7F"/>
            </w:tcBorders>
            <w:shd w:fill="E5E5E5" w:val="clear"/>
            <w:tcMar>
              <w:righ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Compensation</w:t>
              <w:br/>
              <w:t>Component</w:t>
            </w:r>
          </w:p>
        </w:tc>
        <w:tc>
          <w:tcPr>
            <w:tcW w:w="1565" w:type="dxa"/>
            <w:tcBorders>
              <w:left w:val="single" w:sz="2" w:space="0" w:color="7F7F7F"/>
              <w:right w:val="single" w:sz="2" w:space="0" w:color="7F7F7F"/>
            </w:tcBorders>
            <w:shd w:fill="E5E5E5"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Why We Provide it</w:t>
            </w:r>
          </w:p>
        </w:tc>
        <w:tc>
          <w:tcPr>
            <w:tcW w:w="4447" w:type="dxa"/>
            <w:tcBorders>
              <w:left w:val="single" w:sz="2" w:space="0" w:color="7F7F7F"/>
              <w:right w:val="single" w:sz="2" w:space="0" w:color="7F7F7F"/>
            </w:tcBorders>
            <w:shd w:fill="E5E5E5"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How We Determine the Amount</w:t>
              <w:br/>
              <w:t>for Tenured Executives</w:t>
            </w:r>
          </w:p>
        </w:tc>
        <w:tc>
          <w:tcPr>
            <w:tcW w:w="2354" w:type="dxa"/>
            <w:tcBorders>
              <w:left w:val="single" w:sz="2" w:space="0" w:color="7F7F7F"/>
            </w:tcBorders>
            <w:shd w:fill="E5E5E5" w:val="clear"/>
            <w:tcMar>
              <w:lef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What it is Intended to Reward</w:t>
            </w:r>
          </w:p>
        </w:tc>
      </w:tr>
      <w:tr>
        <w:trPr/>
        <w:tc>
          <w:tcPr>
            <w:tcW w:w="1839" w:type="dxa"/>
            <w:tcBorders>
              <w:bottom w:val="single" w:sz="2" w:space="0" w:color="7F7F7F"/>
              <w:right w:val="single" w:sz="2" w:space="0" w:color="7F7F7F"/>
            </w:tcBorders>
            <w:tcMar>
              <w:bottom w:w="28" w:type="dxa"/>
              <w:righ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Base Salary</w:t>
            </w:r>
          </w:p>
        </w:tc>
        <w:tc>
          <w:tcPr>
            <w:tcW w:w="1565" w:type="dxa"/>
            <w:tcBorders>
              <w:left w:val="single" w:sz="2" w:space="0" w:color="7F7F7F"/>
              <w:bottom w:val="single" w:sz="2" w:space="0" w:color="7F7F7F"/>
              <w:right w:val="single" w:sz="2" w:space="0" w:color="7F7F7F"/>
            </w:tcBorders>
            <w:tcMar>
              <w:left w:w="28" w:type="dxa"/>
              <w:bottom w:w="28" w:type="dxa"/>
              <w:right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Consistent with competitive practice</w:t>
            </w:r>
          </w:p>
        </w:tc>
        <w:tc>
          <w:tcPr>
            <w:tcW w:w="4447" w:type="dxa"/>
            <w:tcBorders>
              <w:left w:val="single" w:sz="2" w:space="0" w:color="7F7F7F"/>
              <w:bottom w:val="single" w:sz="2" w:space="0" w:color="7F7F7F"/>
              <w:right w:val="single" w:sz="2" w:space="0" w:color="7F7F7F"/>
            </w:tcBorders>
            <w:tcMar>
              <w:left w:w="28" w:type="dxa"/>
              <w:bottom w:w="28" w:type="dxa"/>
              <w:right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Salaries at approximately the median of similar-sized manufacturing companies</w:t>
            </w:r>
          </w:p>
        </w:tc>
        <w:tc>
          <w:tcPr>
            <w:tcW w:w="2354" w:type="dxa"/>
            <w:tcBorders>
              <w:left w:val="single" w:sz="2" w:space="0" w:color="7F7F7F"/>
              <w:bottom w:val="single" w:sz="2" w:space="0" w:color="7F7F7F"/>
            </w:tcBorders>
            <w:tcMar>
              <w:left w:w="28" w:type="dxa"/>
              <w:bottom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Individual performance and level of experience, expertise, and responsibility within the Company</w:t>
            </w:r>
          </w:p>
        </w:tc>
      </w:tr>
      <w:tr>
        <w:trPr/>
        <w:tc>
          <w:tcPr>
            <w:tcW w:w="1839" w:type="dxa"/>
            <w:tcBorders>
              <w:top w:val="single" w:sz="2" w:space="0" w:color="7F7F7F"/>
              <w:bottom w:val="single" w:sz="2" w:space="0" w:color="7F7F7F"/>
              <w:right w:val="single" w:sz="2" w:space="0" w:color="7F7F7F"/>
            </w:tcBorders>
            <w:tcMar>
              <w:top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Annual Incentive Plan (AIP)</w:t>
            </w:r>
          </w:p>
        </w:tc>
        <w:tc>
          <w:tcPr>
            <w:tcW w:w="1565" w:type="dxa"/>
            <w:tcBorders>
              <w:top w:val="single" w:sz="2" w:space="0" w:color="7F7F7F"/>
              <w:left w:val="single" w:sz="2" w:space="0" w:color="7F7F7F"/>
              <w:bottom w:val="single" w:sz="2" w:space="0" w:color="7F7F7F"/>
              <w:right w:val="single" w:sz="2" w:space="0" w:color="7F7F7F"/>
            </w:tcBorders>
            <w:tcMar>
              <w:top w:w="28" w:type="dxa"/>
              <w:left w:w="28" w:type="dxa"/>
              <w:bottom w:w="28" w:type="dxa"/>
              <w:right w:w="28" w:type="dxa"/>
            </w:tcMar>
            <w:vAlign w:val="center"/>
          </w:tcPr>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link pay and company performance over the fiscal year</w:t>
            </w:r>
          </w:p>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drive the achievement of annual business objectives</w:t>
            </w:r>
          </w:p>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Consistent with competitive practice</w:t>
            </w:r>
          </w:p>
        </w:tc>
        <w:tc>
          <w:tcPr>
            <w:tcW w:w="4447" w:type="dxa"/>
            <w:tcBorders>
              <w:top w:val="single" w:sz="2" w:space="0" w:color="7F7F7F"/>
              <w:left w:val="single" w:sz="2" w:space="0" w:color="7F7F7F"/>
              <w:bottom w:val="single" w:sz="2" w:space="0" w:color="7F7F7F"/>
              <w:right w:val="single" w:sz="2" w:space="0" w:color="7F7F7F"/>
            </w:tcBorders>
            <w:tcMar>
              <w:top w:w="28" w:type="dxa"/>
              <w:left w:w="28" w:type="dxa"/>
              <w:bottom w:w="28" w:type="dxa"/>
              <w:right w:w="28" w:type="dxa"/>
            </w:tcMar>
            <w:vAlign w:val="center"/>
          </w:tcPr>
          <w:p>
            <w:pPr>
              <w:pStyle w:val="TableContents"/>
              <w:bidi w:val="0"/>
              <w:spacing w:before="0" w:after="0"/>
              <w:jc w:val="both"/>
              <w:rPr/>
            </w:pPr>
            <w:r>
              <w:rPr/>
              <w:t>●</w:t>
            </w:r>
          </w:p>
          <w:p>
            <w:pPr>
              <w:pStyle w:val="TableContents"/>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Awards are performance-based and calculated as a percentage of base salary:</w:t>
            </w:r>
          </w:p>
          <w:p>
            <w:pPr>
              <w:pStyle w:val="TableContents"/>
              <w:pBdr/>
              <w:bidi w:val="0"/>
              <w:spacing w:before="0" w:after="80"/>
              <w:ind w:left="0" w:right="0" w:hanging="0"/>
              <w:jc w:val="both"/>
              <w:rPr/>
            </w:pPr>
            <w:r>
              <w:rPr/>
              <w:t>—     </w:t>
            </w:r>
            <w:r>
              <w:rPr>
                <w:rFonts w:ascii="Arial;Helvetica;sans-serif" w:hAnsi="Arial;Helvetica;sans-serif"/>
                <w:sz w:val="14"/>
              </w:rPr>
              <w:t>Target award opportunities are determined on an individual basis for similar positions in peer group manufacturing and general industrial companies</w:t>
            </w:r>
          </w:p>
        </w:tc>
        <w:tc>
          <w:tcPr>
            <w:tcW w:w="2354" w:type="dxa"/>
            <w:tcBorders>
              <w:top w:val="single" w:sz="2" w:space="0" w:color="7F7F7F"/>
              <w:left w:val="single" w:sz="2" w:space="0" w:color="7F7F7F"/>
              <w:bottom w:val="single" w:sz="2" w:space="0" w:color="7F7F7F"/>
            </w:tcBorders>
            <w:tcMar>
              <w:top w:w="28" w:type="dxa"/>
              <w:left w:w="28" w:type="dxa"/>
              <w:bottom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Annual Company financial, safety, and individual performance</w:t>
            </w:r>
          </w:p>
        </w:tc>
      </w:tr>
      <w:tr>
        <w:trPr/>
        <w:tc>
          <w:tcPr>
            <w:tcW w:w="1839" w:type="dxa"/>
            <w:tcBorders>
              <w:top w:val="single" w:sz="2" w:space="0" w:color="7F7F7F"/>
              <w:bottom w:val="single" w:sz="2" w:space="0" w:color="7F7F7F"/>
              <w:right w:val="single" w:sz="2" w:space="0" w:color="7F7F7F"/>
            </w:tcBorders>
            <w:tcMar>
              <w:top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Long-Term</w:t>
              <w:br/>
              <w:t>Incentives</w:t>
              <w:br/>
              <w:t>(includes</w:t>
              <w:br/>
              <w:t>restricted stock units</w:t>
              <w:br/>
              <w:t>and</w:t>
              <w:br/>
              <w:t>performance</w:t>
              <w:br/>
              <w:t>stock units)</w:t>
            </w:r>
          </w:p>
        </w:tc>
        <w:tc>
          <w:tcPr>
            <w:tcW w:w="1565" w:type="dxa"/>
            <w:tcBorders>
              <w:top w:val="single" w:sz="2" w:space="0" w:color="7F7F7F"/>
              <w:left w:val="single" w:sz="2" w:space="0" w:color="7F7F7F"/>
              <w:bottom w:val="single" w:sz="2" w:space="0" w:color="7F7F7F"/>
              <w:right w:val="single" w:sz="2" w:space="0" w:color="7F7F7F"/>
            </w:tcBorders>
            <w:tcMar>
              <w:top w:w="28" w:type="dxa"/>
              <w:left w:w="28" w:type="dxa"/>
              <w:bottom w:w="28" w:type="dxa"/>
              <w:right w:w="28" w:type="dxa"/>
            </w:tcMar>
            <w:vAlign w:val="center"/>
          </w:tcPr>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link pay and company performance over multiple fiscal years</w:t>
            </w:r>
          </w:p>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drive the achievement of critical long-term business objectives</w:t>
            </w:r>
          </w:p>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align management’s interests with those of our shareowners</w:t>
            </w:r>
          </w:p>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foster the long-term retention of key executives</w:t>
            </w:r>
          </w:p>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Consistent with competitive practice</w:t>
            </w:r>
          </w:p>
        </w:tc>
        <w:tc>
          <w:tcPr>
            <w:tcW w:w="4447" w:type="dxa"/>
            <w:tcBorders>
              <w:top w:val="single" w:sz="2" w:space="0" w:color="7F7F7F"/>
              <w:left w:val="single" w:sz="2" w:space="0" w:color="7F7F7F"/>
              <w:bottom w:val="single" w:sz="2" w:space="0" w:color="7F7F7F"/>
              <w:right w:val="single" w:sz="2" w:space="0" w:color="7F7F7F"/>
            </w:tcBorders>
            <w:tcMar>
              <w:top w:w="28" w:type="dxa"/>
              <w:left w:w="28" w:type="dxa"/>
              <w:bottom w:w="28" w:type="dxa"/>
              <w:right w:w="28" w:type="dxa"/>
            </w:tcMar>
            <w:vAlign w:val="center"/>
          </w:tcPr>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Total long-term incentive opportunity is determined on an individual basis based on the executive’s performance and career potential (internal and individual factors), and considering the long-term compensation paid to similar positions among peer group, manufacturing and general industrial companies</w:t>
            </w:r>
          </w:p>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total long-term incentive opportunity for the regular annual awards was allocated between PSUs (60%) and RSUs (40%)</w:t>
            </w:r>
          </w:p>
        </w:tc>
        <w:tc>
          <w:tcPr>
            <w:tcW w:w="2354" w:type="dxa"/>
            <w:tcBorders>
              <w:top w:val="single" w:sz="2" w:space="0" w:color="7F7F7F"/>
              <w:left w:val="single" w:sz="2" w:space="0" w:color="7F7F7F"/>
              <w:bottom w:val="single" w:sz="2" w:space="0" w:color="7F7F7F"/>
            </w:tcBorders>
            <w:tcMar>
              <w:top w:w="28" w:type="dxa"/>
              <w:left w:w="28" w:type="dxa"/>
              <w:bottom w:w="28" w:type="dxa"/>
            </w:tcMar>
            <w:vAlign w:val="center"/>
          </w:tcPr>
          <w:p>
            <w:pPr>
              <w:pStyle w:val="TableContents"/>
              <w:bidi w:val="0"/>
              <w:spacing w:before="0" w:after="80"/>
              <w:jc w:val="both"/>
              <w:rPr/>
            </w:pPr>
            <w:r>
              <w:rPr/>
              <w:t>●</w:t>
            </w:r>
          </w:p>
          <w:p>
            <w:pPr>
              <w:pStyle w:val="TableContents"/>
              <w:bidi w:val="0"/>
              <w:spacing w:before="0" w:after="80"/>
              <w:jc w:val="both"/>
              <w:rPr>
                <w:rFonts w:ascii="Arial;Helvetica;sans-serif" w:hAnsi="Arial;Helvetica;sans-serif"/>
                <w:sz w:val="20"/>
              </w:rPr>
            </w:pPr>
            <w:r>
              <w:rPr>
                <w:rFonts w:ascii="Arial;Helvetica;sans-serif" w:hAnsi="Arial;Helvetica;sans-serif"/>
                <w:b w:val="false"/>
                <w:i w:val="false"/>
                <w:caps w:val="false"/>
                <w:smallCaps w:val="false"/>
                <w:sz w:val="14"/>
              </w:rPr>
              <w:t>Long-term Company performance and individual performance</w:t>
            </w:r>
            <w:r>
              <w:rPr>
                <w:rFonts w:ascii="Arial;Helvetica;sans-serif" w:hAnsi="Arial;Helvetica;sans-serif"/>
                <w:caps w:val="false"/>
                <w:smallCaps w:val="false"/>
                <w:sz w:val="20"/>
              </w:rPr>
              <w:t xml:space="preserve"> </w:t>
            </w:r>
          </w:p>
          <w:p>
            <w:pPr>
              <w:pStyle w:val="TableContents"/>
              <w:bidi w:val="0"/>
              <w:spacing w:before="0" w:after="80"/>
              <w:jc w:val="both"/>
              <w:rPr/>
            </w:pPr>
            <w:r>
              <w:rPr/>
              <w:t>●</w:t>
            </w:r>
          </w:p>
          <w:p>
            <w:pPr>
              <w:pStyle w:val="TableContents"/>
              <w:bidi w:val="0"/>
              <w:spacing w:before="0" w:after="8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PSUs—increased return on capital, improved profit margins and shareowner value and overall Company performance over the long-term</w:t>
            </w:r>
          </w:p>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RSUs—increased shareowner value and long-term commitment to the Company</w:t>
            </w:r>
          </w:p>
        </w:tc>
      </w:tr>
      <w:tr>
        <w:trPr/>
        <w:tc>
          <w:tcPr>
            <w:tcW w:w="1839" w:type="dxa"/>
            <w:tcBorders>
              <w:top w:val="single" w:sz="2" w:space="0" w:color="7F7F7F"/>
              <w:bottom w:val="single" w:sz="2" w:space="0" w:color="7F7F7F"/>
              <w:right w:val="single" w:sz="2" w:space="0" w:color="7F7F7F"/>
            </w:tcBorders>
            <w:tcMar>
              <w:top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Retirement</w:t>
              <w:br/>
              <w:t>Benefits</w:t>
            </w:r>
          </w:p>
        </w:tc>
        <w:tc>
          <w:tcPr>
            <w:tcW w:w="1565" w:type="dxa"/>
            <w:tcBorders>
              <w:top w:val="single" w:sz="2" w:space="0" w:color="7F7F7F"/>
              <w:left w:val="single" w:sz="2" w:space="0" w:color="7F7F7F"/>
              <w:bottom w:val="single" w:sz="2" w:space="0" w:color="7F7F7F"/>
              <w:right w:val="single" w:sz="2" w:space="0" w:color="7F7F7F"/>
            </w:tcBorders>
            <w:tcMar>
              <w:top w:w="28" w:type="dxa"/>
              <w:left w:w="28" w:type="dxa"/>
              <w:bottom w:w="28" w:type="dxa"/>
              <w:right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Consistent with competitive practice</w:t>
            </w:r>
          </w:p>
        </w:tc>
        <w:tc>
          <w:tcPr>
            <w:tcW w:w="4447" w:type="dxa"/>
            <w:tcBorders>
              <w:top w:val="single" w:sz="2" w:space="0" w:color="7F7F7F"/>
              <w:left w:val="single" w:sz="2" w:space="0" w:color="7F7F7F"/>
              <w:bottom w:val="single" w:sz="2" w:space="0" w:color="7F7F7F"/>
              <w:right w:val="single" w:sz="2" w:space="0" w:color="7F7F7F"/>
            </w:tcBorders>
            <w:tcMar>
              <w:top w:w="28" w:type="dxa"/>
              <w:left w:w="28" w:type="dxa"/>
              <w:bottom w:w="28" w:type="dxa"/>
              <w:right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Market practice and Company-specific circumstances</w:t>
            </w:r>
          </w:p>
        </w:tc>
        <w:tc>
          <w:tcPr>
            <w:tcW w:w="2354" w:type="dxa"/>
            <w:tcBorders>
              <w:top w:val="single" w:sz="2" w:space="0" w:color="7F7F7F"/>
              <w:left w:val="single" w:sz="2" w:space="0" w:color="7F7F7F"/>
              <w:bottom w:val="single" w:sz="2" w:space="0" w:color="7F7F7F"/>
            </w:tcBorders>
            <w:tcMar>
              <w:top w:w="28" w:type="dxa"/>
              <w:left w:w="28" w:type="dxa"/>
              <w:bottom w:w="28" w:type="dxa"/>
            </w:tcMar>
            <w:vAlign w:val="center"/>
          </w:tcPr>
          <w:p>
            <w:pPr>
              <w:pStyle w:val="TableContents"/>
              <w:bidi w:val="0"/>
              <w:spacing w:before="0" w:after="0"/>
              <w:jc w:val="both"/>
              <w:rPr/>
            </w:pPr>
            <w:r>
              <w:rPr/>
              <w:t>●</w:t>
            </w:r>
          </w:p>
          <w:p>
            <w:pPr>
              <w:pStyle w:val="TableContents"/>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provide long-term financial security to executives who have demonstrated long-term commitment to the Company</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designed our executive compensation program to target total direct compensation for each of our tenured executives in their current roles near the median level for executives in similar positions within our industry and peer group with the opportunity to earn actual compensation above or below median compensation depending on Company and individual performance. We believe that the design of the compensation program allows for actual compensation earned under our incentive plans to be above-median compensation for exceptional performance, as well as below-median compensation when performance falls below our expectations. Also, we may deviate from targeting the median if, in the judgment of management and/or the Committee, the value of an executive’s experience, performance and specific skill set warrants such a deviation. For individual executives, compensation may also vary depending on the executive’s experience, responsibility and expertise, such person’s contribution to our business strategy and the market’s demand for such skills and talent. The foundation of our program is based on a system of benchmark market pricing. Each executive’s compensation is competitively benchmarked against executives in comparable positions in similar revenue-sized manufacturing and general industrial companies and, in some cases, against a peer group of companies. This benchmarking process as well as an internal assessment of the position’s internal value to the Company, scope and complexity of responsibilities generally defines a range of opportunities for base salary, annual incentives and long-term incentives. The pay ranges give the Committee flexibility to position individual compensation above or below market median levels depending on the individual’s job performance, professional qualifications, business experience, technical expertise and career potential.</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39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5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0" descr=""/>
                    <pic:cNvPicPr>
                      <a:picLocks noChangeAspect="1" noChangeArrowheads="1"/>
                    </pic:cNvPicPr>
                  </pic:nvPicPr>
                  <pic:blipFill>
                    <a:blip r:embed="rId91"/>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Factors that Influence Compensation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believes that an effective compensation program reflects a balance between individual factors (</w:t>
      </w:r>
      <w:r>
        <w:rPr>
          <w:rFonts w:ascii="Arial;Helvetica;sans-serif" w:hAnsi="Arial;Helvetica;sans-serif"/>
          <w:i/>
          <w:sz w:val="20"/>
        </w:rPr>
        <w:t>i.e.</w:t>
      </w:r>
      <w:r>
        <w:rPr>
          <w:rFonts w:ascii="Arial;Helvetica;sans-serif" w:hAnsi="Arial;Helvetica;sans-serif"/>
          <w:sz w:val="20"/>
        </w:rPr>
        <w:t>, level of responsibility, skills, experience, expertise and individual performance), organizational measures, and external or market factors (</w:t>
      </w:r>
      <w:r>
        <w:rPr>
          <w:rFonts w:ascii="Arial;Helvetica;sans-serif" w:hAnsi="Arial;Helvetica;sans-serif"/>
          <w:i/>
          <w:sz w:val="20"/>
        </w:rPr>
        <w:t>i.e.</w:t>
      </w:r>
      <w:r>
        <w:rPr>
          <w:rFonts w:ascii="Arial;Helvetica;sans-serif" w:hAnsi="Arial;Helvetica;sans-serif"/>
          <w:sz w:val="20"/>
        </w:rPr>
        <w:t>, competitive benchmarking and survey data). We incorporate each of these factors into the design of our executive compensation program. Accordingly, we compensate our executives based upon an assessment of:</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Individual Performance</w:t>
            </w:r>
            <w:r>
              <w:rPr>
                <w:rFonts w:ascii="Arial;Helvetica;sans-serif" w:hAnsi="Arial;Helvetica;sans-serif"/>
                <w:b w:val="false"/>
                <w:i w:val="false"/>
                <w:caps w:val="false"/>
                <w:smallCaps w:val="false"/>
                <w:sz w:val="20"/>
              </w:rPr>
              <w:t>. All executives are evaluated against an annual performance plan. The performance plan is based on individual performance objectives that will further the goals of the executive’s business unit, if applicable, and the strategic goals of the Company. These objectives, which include both quantitative and qualitative goals, are reviewed and assessed periodically by the executive with the CEO and by the CEO with the Board. At the end of the fiscal year there is a comprehensive analysis of the executive’s actual performance vis-à-vis the individual’s performance plan, and that analysis is provided to the Committee for review.</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Company Performance</w:t>
            </w:r>
            <w:r>
              <w:rPr>
                <w:rFonts w:ascii="Arial;Helvetica;sans-serif" w:hAnsi="Arial;Helvetica;sans-serif"/>
                <w:b w:val="false"/>
                <w:i w:val="false"/>
                <w:caps w:val="false"/>
                <w:smallCaps w:val="false"/>
                <w:sz w:val="20"/>
              </w:rPr>
              <w:t>. The primary objective of our compensation philosophy is to align our executive officers’ compensation with the performance of the Company (“pay-for-performance”). When making compensation decisions related to our executives, the Committee evaluates the Company’s achievement of pre-established internal metrics (which are predicated on our annual and long-term financial plans and goals, along with other strategic and operational initiatives) and external measures (which are predicated on external factors such as the growth in our stock price).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Market Intelligence</w:t>
            </w:r>
            <w:r>
              <w:rPr>
                <w:rFonts w:ascii="Arial;Helvetica;sans-serif" w:hAnsi="Arial;Helvetica;sans-serif"/>
                <w:b w:val="false"/>
                <w:i w:val="false"/>
                <w:caps w:val="false"/>
                <w:smallCaps w:val="false"/>
                <w:sz w:val="20"/>
              </w:rPr>
              <w:t xml:space="preserve">. Individual and Company performance are weighted most heavily in compensation decisions. However, when appropriate, the Committee also considers external factors, such as market and survey data and pay positioning for our executives relative to market data, as explained in further detail below under the subheading </w:t>
            </w:r>
            <w:r>
              <w:rPr/>
              <w:t>“</w:t>
            </w:r>
            <w:r>
              <w:rPr>
                <w:rFonts w:ascii="Arial;Helvetica;sans-serif" w:hAnsi="Arial;Helvetica;sans-serif"/>
                <w:b w:val="false"/>
                <w:i/>
                <w:sz w:val="20"/>
              </w:rPr>
              <w:t>Pay Positioning Relative to Market — Benchmarking.”</w:t>
            </w:r>
          </w:p>
        </w:tc>
      </w:tr>
    </w:tbl>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Variable Compensation and Promotion of a Long-Term Perspective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increase the variable component of compensation for our executives as they progress through our management levels and adjust the ratio of short-term to long-term compensation to promote accountability and a long-term perspective. We structure our executive compensation program so that the proportion of variable versus fixed compensation increases as the role and responsibility of the executive increases. We believe this is appropriate because the executives are best positioned to be able to affect the Company’s performance. Therefore, they should receive a substantial portion of their total compensation value in the form of long-term incentives that measure and reward Kennametal’s performance over a period of greater than one year. The table below illustrates that the actual percentage of variable pay relative to total compensation depends on the executive’s position within the Company. In general, the higher the executive’s position within the Company, the greater the proportion of variable pay that is linked to Company performance and stock price. Similarly, as the executive rises to positions of greater responsibility within our Company, short-term compensation begins to decrease proportionately relative to long-term compensation which, in most cases, begins to represent a greater proportion of the executive’s total compensation. Accordingly, the decision to emphasize variable elements for these individuals results in a reduced emphasis on fixed elements of compensation. In some cases, the variances between short-term and long-term compensation may be related to the length of tenure in the position or initial compensation package provided upon hiring.</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following table summarizes the breakout of fixed annualized salary versus target variable compensation and target variable short-term versus target variable long-term compensation for our NEOs at the end of Fiscal 2026 based on the target total direct compensation structure of their roles, but excluding the special LTIP retention awards in the form of RSUs </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40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5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1" descr=""/>
                    <pic:cNvPicPr>
                      <a:picLocks noChangeAspect="1" noChangeArrowheads="1"/>
                    </pic:cNvPicPr>
                  </pic:nvPicPr>
                  <pic:blipFill>
                    <a:blip r:embed="rId9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that were granted on October 1, 2025 (which were provided to ensure leadership continuity as the leadership team evaluated strategic initiatives in Fiscal 2026).</w:t>
      </w:r>
    </w:p>
    <w:tbl>
      <w:tblPr>
        <w:tblW w:w="10205" w:type="dxa"/>
        <w:jc w:val="left"/>
        <w:tblInd w:w="0" w:type="dxa"/>
        <w:tblLayout w:type="fixed"/>
        <w:tblCellMar>
          <w:top w:w="0" w:type="dxa"/>
          <w:left w:w="0" w:type="dxa"/>
          <w:bottom w:w="0" w:type="dxa"/>
          <w:right w:w="0" w:type="dxa"/>
        </w:tblCellMar>
      </w:tblPr>
      <w:tblGrid>
        <w:gridCol w:w="3672"/>
        <w:gridCol w:w="346"/>
        <w:gridCol w:w="1276"/>
        <w:gridCol w:w="346"/>
        <w:gridCol w:w="1276"/>
        <w:gridCol w:w="346"/>
        <w:gridCol w:w="1276"/>
        <w:gridCol w:w="346"/>
        <w:gridCol w:w="1321"/>
      </w:tblGrid>
      <w:tr>
        <w:trPr/>
        <w:tc>
          <w:tcPr>
            <w:tcW w:w="3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15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16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16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16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0"/>
              <w:ind w:left="0" w:right="0" w:hanging="0"/>
              <w:jc w:val="left"/>
              <w:rPr/>
            </w:pPr>
            <w:r>
              <w:rPr/>
              <w:t>​</w:t>
            </w:r>
          </w:p>
        </w:tc>
      </w:tr>
      <w:tr>
        <w:trPr/>
        <w:tc>
          <w:tcPr>
            <w:tcW w:w="367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898" w:type="dxa"/>
            <w:gridSpan w:val="3"/>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Fixed vs. Target Variable Breakout</w:t>
            </w:r>
          </w:p>
        </w:tc>
        <w:tc>
          <w:tcPr>
            <w:tcW w:w="346" w:type="dxa"/>
            <w:tcBorders/>
            <w:shd w:fill="E5E5E5" w:val="clear"/>
            <w:vAlign w:val="center"/>
          </w:tcPr>
          <w:p>
            <w:pPr>
              <w:pStyle w:val="TableContents"/>
              <w:bidi w:val="0"/>
              <w:spacing w:before="0" w:after="0"/>
              <w:ind w:left="0" w:right="0" w:hanging="0"/>
              <w:jc w:val="left"/>
              <w:rPr/>
            </w:pPr>
            <w:r>
              <w:rPr/>
              <w:t>  ​ ​ ​</w:t>
            </w:r>
          </w:p>
        </w:tc>
        <w:tc>
          <w:tcPr>
            <w:tcW w:w="2943" w:type="dxa"/>
            <w:gridSpan w:val="3"/>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 Variable Breakout</w:t>
            </w:r>
          </w:p>
        </w:tc>
      </w:tr>
      <w:tr>
        <w:trPr/>
        <w:tc>
          <w:tcPr>
            <w:tcW w:w="3672"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 Annual</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 Annual</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321" w:type="dxa"/>
            <w:tcBorders/>
            <w:shd w:fill="E5E5E5" w:val="clear"/>
            <w:vAlign w:val="center"/>
          </w:tcPr>
          <w:p>
            <w:pPr>
              <w:pStyle w:val="TableContents"/>
              <w:bidi w:val="0"/>
              <w:spacing w:before="0" w:after="0"/>
              <w:ind w:left="0" w:right="0" w:hanging="0"/>
              <w:jc w:val="center"/>
              <w:rPr/>
            </w:pPr>
            <w:r>
              <w:rPr/>
              <w:t>​</w:t>
            </w:r>
          </w:p>
        </w:tc>
      </w:tr>
      <w:tr>
        <w:trPr/>
        <w:tc>
          <w:tcPr>
            <w:tcW w:w="367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 Total</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 Total</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321" w:type="dxa"/>
            <w:tcBorders/>
            <w:shd w:fill="E5E5E5" w:val="clear"/>
            <w:vAlign w:val="center"/>
          </w:tcPr>
          <w:p>
            <w:pPr>
              <w:pStyle w:val="TableContents"/>
              <w:bidi w:val="0"/>
              <w:spacing w:before="0" w:after="0"/>
              <w:ind w:left="0" w:right="0" w:hanging="0"/>
              <w:jc w:val="center"/>
              <w:rPr/>
            </w:pPr>
            <w:r>
              <w:rPr/>
              <w:t>​</w:t>
            </w:r>
          </w:p>
        </w:tc>
      </w:tr>
      <w:tr>
        <w:trPr/>
        <w:tc>
          <w:tcPr>
            <w:tcW w:w="367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Direct</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Direct</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Short-</w:t>
            </w:r>
          </w:p>
        </w:tc>
        <w:tc>
          <w:tcPr>
            <w:tcW w:w="346" w:type="dxa"/>
            <w:tcBorders/>
            <w:shd w:fill="E5E5E5" w:val="clear"/>
            <w:vAlign w:val="center"/>
          </w:tcPr>
          <w:p>
            <w:pPr>
              <w:pStyle w:val="TableContents"/>
              <w:bidi w:val="0"/>
              <w:spacing w:before="0" w:after="0"/>
              <w:ind w:left="0" w:right="0" w:hanging="0"/>
              <w:jc w:val="left"/>
              <w:rPr/>
            </w:pPr>
            <w:r>
              <w:rPr/>
              <w:t>​</w:t>
            </w:r>
          </w:p>
        </w:tc>
        <w:tc>
          <w:tcPr>
            <w:tcW w:w="132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Long-</w:t>
            </w:r>
          </w:p>
        </w:tc>
      </w:tr>
      <w:tr>
        <w:trPr/>
        <w:tc>
          <w:tcPr>
            <w:tcW w:w="367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4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w:t>
            </w:r>
          </w:p>
        </w:tc>
        <w:tc>
          <w:tcPr>
            <w:tcW w:w="346" w:type="dxa"/>
            <w:tcBorders/>
            <w:shd w:fill="E5E5E5" w:val="clear"/>
            <w:vAlign w:val="center"/>
          </w:tcPr>
          <w:p>
            <w:pPr>
              <w:pStyle w:val="TableContents"/>
              <w:bidi w:val="0"/>
              <w:spacing w:before="0" w:after="0"/>
              <w:ind w:left="0" w:right="0" w:hanging="0"/>
              <w:jc w:val="left"/>
              <w:rPr/>
            </w:pPr>
            <w:r>
              <w:rPr/>
              <w:t>​</w:t>
            </w:r>
          </w:p>
        </w:tc>
        <w:tc>
          <w:tcPr>
            <w:tcW w:w="132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w:t>
            </w:r>
          </w:p>
        </w:tc>
      </w:tr>
      <w:tr>
        <w:trPr/>
        <w:tc>
          <w:tcPr>
            <w:tcW w:w="3672"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Title</w:t>
            </w:r>
          </w:p>
        </w:tc>
        <w:tc>
          <w:tcPr>
            <w:tcW w:w="346" w:type="dxa"/>
            <w:tcBorders/>
            <w:shd w:fill="E5E5E5" w:val="clear"/>
            <w:vAlign w:val="center"/>
          </w:tcPr>
          <w:p>
            <w:pPr>
              <w:pStyle w:val="TableContents"/>
              <w:bidi w:val="0"/>
              <w:spacing w:before="0" w:after="0"/>
              <w:ind w:left="0" w:right="0" w:hanging="0"/>
              <w:jc w:val="left"/>
              <w:rPr/>
            </w:pPr>
            <w:r>
              <w:rPr/>
              <w:t>  ​ ​ ​</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Fixed</w:t>
            </w:r>
          </w:p>
        </w:tc>
        <w:tc>
          <w:tcPr>
            <w:tcW w:w="346" w:type="dxa"/>
            <w:tcBorders/>
            <w:shd w:fill="E5E5E5" w:val="clear"/>
            <w:vAlign w:val="center"/>
          </w:tcPr>
          <w:p>
            <w:pPr>
              <w:pStyle w:val="TableContents"/>
              <w:bidi w:val="0"/>
              <w:spacing w:before="0" w:after="0"/>
              <w:ind w:left="0" w:right="0" w:hanging="0"/>
              <w:jc w:val="left"/>
              <w:rPr/>
            </w:pPr>
            <w:r>
              <w:rPr/>
              <w:t>  ​ ​ ​</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Variable</w:t>
            </w:r>
          </w:p>
        </w:tc>
        <w:tc>
          <w:tcPr>
            <w:tcW w:w="346" w:type="dxa"/>
            <w:tcBorders/>
            <w:shd w:fill="E5E5E5" w:val="clear"/>
            <w:vAlign w:val="center"/>
          </w:tcPr>
          <w:p>
            <w:pPr>
              <w:pStyle w:val="TableContents"/>
              <w:bidi w:val="0"/>
              <w:spacing w:before="0" w:after="0"/>
              <w:ind w:left="0" w:right="0" w:hanging="0"/>
              <w:jc w:val="left"/>
              <w:rPr/>
            </w:pPr>
            <w:r>
              <w:rPr/>
              <w:t>  ​ ​ ​</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46" w:type="dxa"/>
            <w:tcBorders/>
            <w:shd w:fill="E5E5E5" w:val="clear"/>
            <w:vAlign w:val="center"/>
          </w:tcPr>
          <w:p>
            <w:pPr>
              <w:pStyle w:val="TableContents"/>
              <w:bidi w:val="0"/>
              <w:spacing w:before="0" w:after="0"/>
              <w:ind w:left="0" w:right="0" w:hanging="0"/>
              <w:jc w:val="left"/>
              <w:rPr/>
            </w:pPr>
            <w:r>
              <w:rPr/>
              <w:t>  ​ ​ ​</w:t>
            </w:r>
          </w:p>
        </w:tc>
        <w:tc>
          <w:tcPr>
            <w:tcW w:w="132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r>
      <w:tr>
        <w:trPr/>
        <w:tc>
          <w:tcPr>
            <w:tcW w:w="367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CEO</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79%</w:t>
            </w:r>
          </w:p>
        </w:tc>
      </w:tr>
      <w:tr>
        <w:trPr/>
        <w:tc>
          <w:tcPr>
            <w:tcW w:w="367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Vice President and Chief Financial Officer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28%</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72%</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29%</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71%</w:t>
            </w:r>
          </w:p>
        </w:tc>
      </w:tr>
      <w:tr>
        <w:trPr/>
        <w:tc>
          <w:tcPr>
            <w:tcW w:w="367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Vice President and President, Metal Cutting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64%</w:t>
            </w:r>
          </w:p>
        </w:tc>
      </w:tr>
      <w:tr>
        <w:trPr/>
        <w:tc>
          <w:tcPr>
            <w:tcW w:w="367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Vice President and President, Infrastructure 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64%</w:t>
            </w:r>
          </w:p>
        </w:tc>
      </w:tr>
      <w:tr>
        <w:trPr/>
        <w:tc>
          <w:tcPr>
            <w:tcW w:w="367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Vice President, Secretary and General Counsel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70%</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4"/>
        </w:rPr>
      </w:pPr>
      <w:r>
        <w:rPr>
          <w:rFonts w:ascii="Arial;Helvetica;sans-serif" w:hAnsi="Arial;Helvetica;sans-serif"/>
          <w:sz w:val="24"/>
        </w:rPr>
        <w:t>Competitive Compensation</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Pay Positioning Relative to Market — Benchmarking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When we make compensation decisions, we compare the compensation paid to our executive officers to the compensation paid to similarly positioned executives at other companies within our industry or general manufacturing to gain a general understanding of current market compensation practices for these positions. Specifically, we benchmark total compensation levels and certain of the individual elements of our compensation packages (mainly base salary, AIP (together, “total cash compensation”) and long-term incentives (together with total cash compensation, “total direct compensation”)) to both published survey data of comparable companies and to a custom peer group of public companies within the manufacturing industry.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Benchmark data is part of the external information we consider when designing and executing our compensation programs.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Committee’s independent compensation consultant assists the Committee in its benchmarking efforts, by collecting compensation data for our peer group companies from the most recently available annual proxy statement for each company. Pay Governance can also provide survey data representing industry-specific and general industrial companies included in the Willis Towers Watson Executive Compensation Database. In consultation with management, the consultant provides the Committee with the results of its benchmarking efforts on an annual basis. The benchmarking data helps us assess the competitiveness of our executives’ compensation compared to that of other executives at our peer companies and in the broader market. We also use the data to help ensure proper alignment between executive and shareowner interests, and to assess compensation versus Company performance.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When we evaluate our compensation structure, we compare the target range for total direct compensation, the mix of compensation components and the allocation of those components in our executives’ individual compensation packages against benchmark data. Each year we evaluate the target total cash compensation and target total direct compensation we provide to our executives against the benchmark data to determine whether our compensation structure accurately reflects our goal of providing compensation at approximately the median level within our peer group and industry. The Committee considers this information, along with data provided by the consultant, the Company and individual performance factors, when it sets compensation levels.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Pay Governance annually reviews our peer group to ensure that the peer companies continue to be appropriate comparisons for performance purposes and for compensation purposes. The companies in our current peer group are included based on their alignment with the following selection criteria: comparable annual revenue, market capitalization, operational scope and organizational complexity. While some of the peers are smaller than we are, others are larger. Nevertheless, we include these companies to help us understand the effect size and complexity have on compensation levels and designs.</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41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6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92" descr=""/>
                    <pic:cNvPicPr>
                      <a:picLocks noChangeAspect="1" noChangeArrowheads="1"/>
                    </pic:cNvPicPr>
                  </pic:nvPicPr>
                  <pic:blipFill>
                    <a:blip r:embed="rId9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Fiscal 2026, based on a comprehensive review and evaluation by Pay Governance, our peer group was updated for more appropriate comparisons based on revenue and market capitalization. One company (Barnes Group) was removed as a private company acquired it. Three companies with revenues greater than $3 billion and market capitalizations greater than $15 billion were removed: Carpenter Technology Corporation, Curtiss-Wright Corporation, and Woodward, Inc. Two companies with revenues lower than Kennametal Inc.’s were added: ESCO Technologies Inc. and Kadant Inc. As a result, effective February 2026, the following 18 companies comprised our peer group for compensation purposes:</w:t>
      </w:r>
    </w:p>
    <w:tbl>
      <w:tblPr>
        <w:tblW w:w="7202" w:type="dxa"/>
        <w:jc w:val="left"/>
        <w:tblInd w:w="0" w:type="dxa"/>
        <w:tblLayout w:type="fixed"/>
        <w:tblCellMar>
          <w:top w:w="0" w:type="dxa"/>
          <w:left w:w="0" w:type="dxa"/>
          <w:bottom w:w="28" w:type="dxa"/>
          <w:right w:w="0" w:type="dxa"/>
        </w:tblCellMar>
      </w:tblPr>
      <w:tblGrid>
        <w:gridCol w:w="3991"/>
        <w:gridCol w:w="3211"/>
      </w:tblGrid>
      <w:tr>
        <w:trPr/>
        <w:tc>
          <w:tcPr>
            <w:tcW w:w="3991" w:type="dxa"/>
            <w:tcBorders>
              <w:bottom w:val="single" w:sz="12" w:space="0" w:color="FFD966"/>
            </w:tcBorders>
            <w:shd w:fill="FFFFFF" w:val="clear"/>
            <w:vAlign w:val="center"/>
          </w:tcPr>
          <w:p>
            <w:pPr>
              <w:pStyle w:val="TableContents"/>
              <w:bidi w:val="0"/>
              <w:spacing w:before="0" w:after="0"/>
              <w:ind w:left="0" w:right="0" w:hanging="0"/>
              <w:jc w:val="left"/>
              <w:rPr/>
            </w:pPr>
            <w:r>
              <w:rPr/>
              <w:t>​</w:t>
            </w:r>
          </w:p>
        </w:tc>
        <w:tc>
          <w:tcPr>
            <w:tcW w:w="3211" w:type="dxa"/>
            <w:tcBorders>
              <w:bottom w:val="single" w:sz="12" w:space="0" w:color="FFD966"/>
            </w:tcBorders>
            <w:shd w:fill="FFFFFF" w:val="clear"/>
            <w:vAlign w:val="center"/>
          </w:tcPr>
          <w:p>
            <w:pPr>
              <w:pStyle w:val="TableContents"/>
              <w:bidi w:val="0"/>
              <w:spacing w:before="0" w:after="0"/>
              <w:ind w:left="0" w:right="0" w:hanging="0"/>
              <w:jc w:val="left"/>
              <w:rPr/>
            </w:pPr>
            <w:r>
              <w:rPr/>
              <w:t>​</w:t>
            </w:r>
          </w:p>
        </w:tc>
      </w:tr>
      <w:tr>
        <w:trPr/>
        <w:tc>
          <w:tcPr>
            <w:tcW w:w="3991" w:type="dxa"/>
            <w:tcBorders>
              <w:top w:val="single" w:sz="2" w:space="0" w:color="FFD966"/>
              <w:bottom w:val="single" w:sz="2" w:space="0" w:color="FFD966"/>
              <w:right w:val="single" w:sz="2" w:space="0" w:color="FFD966"/>
            </w:tcBorders>
            <w:shd w:fill="FFF2CC" w:val="clear"/>
            <w:tcMar>
              <w:top w:w="28" w:type="dxa"/>
              <w:right w:w="105" w:type="dxa"/>
            </w:tcMar>
            <w:vAlign w:val="center"/>
          </w:tcPr>
          <w:p>
            <w:pPr>
              <w:pStyle w:val="TableContents"/>
              <w:bidi w:val="0"/>
              <w:spacing w:before="0" w:after="0"/>
              <w:ind w:left="0" w:right="0" w:hanging="0"/>
              <w:jc w:val="left"/>
              <w:rPr/>
            </w:pPr>
            <w:r>
              <w:rPr/>
              <w:t>​</w:t>
            </w:r>
          </w:p>
        </w:tc>
        <w:tc>
          <w:tcPr>
            <w:tcW w:w="3211" w:type="dxa"/>
            <w:tcBorders>
              <w:top w:val="single" w:sz="2" w:space="0" w:color="FFD966"/>
              <w:left w:val="single" w:sz="2" w:space="0" w:color="FFD966"/>
              <w:bottom w:val="single" w:sz="2" w:space="0" w:color="FFD966"/>
            </w:tcBorders>
            <w:shd w:fill="FFF2CC" w:val="clear"/>
            <w:tcMar>
              <w:top w:w="28" w:type="dxa"/>
              <w:left w:w="105" w:type="dxa"/>
            </w:tcMar>
            <w:vAlign w:val="center"/>
          </w:tcPr>
          <w:p>
            <w:pPr>
              <w:pStyle w:val="TableContents"/>
              <w:bidi w:val="0"/>
              <w:spacing w:before="0" w:after="0"/>
              <w:ind w:left="0" w:right="0" w:hanging="0"/>
              <w:jc w:val="left"/>
              <w:rPr/>
            </w:pPr>
            <w:r>
              <w:rPr/>
              <w:t>​</w:t>
            </w:r>
          </w:p>
        </w:tc>
      </w:tr>
      <w:tr>
        <w:trPr/>
        <w:tc>
          <w:tcPr>
            <w:tcW w:w="3991" w:type="dxa"/>
            <w:tcBorders>
              <w:top w:val="single" w:sz="2" w:space="0" w:color="FFD966"/>
              <w:bottom w:val="single" w:sz="2" w:space="0" w:color="FFD966"/>
              <w:right w:val="single" w:sz="2" w:space="0" w:color="FFD966"/>
            </w:tcBorders>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The Manitowoc Company, Inc.</w:t>
            </w:r>
          </w:p>
        </w:tc>
        <w:tc>
          <w:tcPr>
            <w:tcW w:w="3211" w:type="dxa"/>
            <w:tcBorders>
              <w:top w:val="single" w:sz="2" w:space="0" w:color="FFD966"/>
              <w:left w:val="single" w:sz="2" w:space="0" w:color="FFD966"/>
              <w:bottom w:val="single" w:sz="2" w:space="0" w:color="FFD966"/>
            </w:tcBorders>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Astec Industries, Inc.</w:t>
            </w:r>
          </w:p>
        </w:tc>
      </w:tr>
      <w:tr>
        <w:trPr/>
        <w:tc>
          <w:tcPr>
            <w:tcW w:w="3991" w:type="dxa"/>
            <w:tcBorders>
              <w:top w:val="single" w:sz="2" w:space="0" w:color="FFD966"/>
              <w:bottom w:val="single" w:sz="2" w:space="0" w:color="FFD966"/>
              <w:right w:val="single" w:sz="2" w:space="0" w:color="FFD966"/>
            </w:tcBorders>
            <w:shd w:fill="FFF2CC" w:val="clear"/>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Columbus McKinnon Corporation</w:t>
            </w:r>
          </w:p>
        </w:tc>
        <w:tc>
          <w:tcPr>
            <w:tcW w:w="3211" w:type="dxa"/>
            <w:tcBorders>
              <w:top w:val="single" w:sz="2" w:space="0" w:color="FFD966"/>
              <w:left w:val="single" w:sz="2" w:space="0" w:color="FFD966"/>
              <w:bottom w:val="single" w:sz="2" w:space="0" w:color="FFD966"/>
            </w:tcBorders>
            <w:shd w:fill="FFF2CC" w:val="clear"/>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Crane Company</w:t>
            </w:r>
          </w:p>
        </w:tc>
      </w:tr>
      <w:tr>
        <w:trPr/>
        <w:tc>
          <w:tcPr>
            <w:tcW w:w="3991" w:type="dxa"/>
            <w:tcBorders>
              <w:top w:val="single" w:sz="2" w:space="0" w:color="FFD966"/>
              <w:bottom w:val="single" w:sz="2" w:space="0" w:color="FFD966"/>
              <w:right w:val="single" w:sz="2" w:space="0" w:color="FFD966"/>
            </w:tcBorders>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ITT Inc.</w:t>
            </w:r>
          </w:p>
        </w:tc>
        <w:tc>
          <w:tcPr>
            <w:tcW w:w="3211" w:type="dxa"/>
            <w:tcBorders>
              <w:top w:val="single" w:sz="2" w:space="0" w:color="FFD966"/>
              <w:left w:val="single" w:sz="2" w:space="0" w:color="FFD966"/>
              <w:bottom w:val="single" w:sz="2" w:space="0" w:color="FFD966"/>
            </w:tcBorders>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Kadant Inc.</w:t>
            </w:r>
          </w:p>
        </w:tc>
      </w:tr>
      <w:tr>
        <w:trPr/>
        <w:tc>
          <w:tcPr>
            <w:tcW w:w="3991" w:type="dxa"/>
            <w:tcBorders>
              <w:top w:val="single" w:sz="2" w:space="0" w:color="FFD966"/>
              <w:bottom w:val="single" w:sz="2" w:space="0" w:color="FFD966"/>
              <w:right w:val="single" w:sz="2" w:space="0" w:color="FFD966"/>
            </w:tcBorders>
            <w:shd w:fill="FFF2CC" w:val="clear"/>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ESCO Technologies Inc.</w:t>
            </w:r>
          </w:p>
        </w:tc>
        <w:tc>
          <w:tcPr>
            <w:tcW w:w="3211" w:type="dxa"/>
            <w:tcBorders>
              <w:top w:val="single" w:sz="2" w:space="0" w:color="FFD966"/>
              <w:left w:val="single" w:sz="2" w:space="0" w:color="FFD966"/>
              <w:bottom w:val="single" w:sz="2" w:space="0" w:color="FFD966"/>
            </w:tcBorders>
            <w:shd w:fill="FFF2CC" w:val="clear"/>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ESAB Corporation</w:t>
            </w:r>
          </w:p>
        </w:tc>
      </w:tr>
      <w:tr>
        <w:trPr/>
        <w:tc>
          <w:tcPr>
            <w:tcW w:w="3991" w:type="dxa"/>
            <w:tcBorders>
              <w:top w:val="single" w:sz="2" w:space="0" w:color="FFD966"/>
              <w:bottom w:val="single" w:sz="2" w:space="0" w:color="FFD966"/>
              <w:right w:val="single" w:sz="2" w:space="0" w:color="FFD966"/>
            </w:tcBorders>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Mueller Water Products, Inc.</w:t>
            </w:r>
          </w:p>
        </w:tc>
        <w:tc>
          <w:tcPr>
            <w:tcW w:w="3211" w:type="dxa"/>
            <w:tcBorders>
              <w:top w:val="single" w:sz="2" w:space="0" w:color="FFD966"/>
              <w:left w:val="single" w:sz="2" w:space="0" w:color="FFD966"/>
              <w:bottom w:val="single" w:sz="2" w:space="0" w:color="FFD966"/>
            </w:tcBorders>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Nordson Corporation</w:t>
            </w:r>
          </w:p>
        </w:tc>
      </w:tr>
      <w:tr>
        <w:trPr/>
        <w:tc>
          <w:tcPr>
            <w:tcW w:w="3991" w:type="dxa"/>
            <w:tcBorders>
              <w:top w:val="single" w:sz="2" w:space="0" w:color="FFD966"/>
              <w:bottom w:val="single" w:sz="2" w:space="0" w:color="FFD966"/>
              <w:right w:val="single" w:sz="2" w:space="0" w:color="FFD966"/>
            </w:tcBorders>
            <w:shd w:fill="FFF2CC" w:val="clear"/>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Simpson Manufacturing Co., Inc.</w:t>
            </w:r>
          </w:p>
        </w:tc>
        <w:tc>
          <w:tcPr>
            <w:tcW w:w="3211" w:type="dxa"/>
            <w:tcBorders>
              <w:top w:val="single" w:sz="2" w:space="0" w:color="FFD966"/>
              <w:left w:val="single" w:sz="2" w:space="0" w:color="FFD966"/>
              <w:bottom w:val="single" w:sz="2" w:space="0" w:color="FFD966"/>
            </w:tcBorders>
            <w:shd w:fill="FFF2CC" w:val="clear"/>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Graco Inc.</w:t>
            </w:r>
          </w:p>
        </w:tc>
      </w:tr>
      <w:tr>
        <w:trPr/>
        <w:tc>
          <w:tcPr>
            <w:tcW w:w="3991" w:type="dxa"/>
            <w:tcBorders>
              <w:top w:val="single" w:sz="2" w:space="0" w:color="FFD966"/>
              <w:bottom w:val="single" w:sz="2" w:space="0" w:color="FFD966"/>
              <w:right w:val="single" w:sz="2" w:space="0" w:color="FFD966"/>
            </w:tcBorders>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Franklin Electric Co., Inc.</w:t>
            </w:r>
          </w:p>
        </w:tc>
        <w:tc>
          <w:tcPr>
            <w:tcW w:w="3211" w:type="dxa"/>
            <w:tcBorders>
              <w:top w:val="single" w:sz="2" w:space="0" w:color="FFD966"/>
              <w:left w:val="single" w:sz="2" w:space="0" w:color="FFD966"/>
              <w:bottom w:val="single" w:sz="2" w:space="0" w:color="FFD966"/>
            </w:tcBorders>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Watts Water Technologies, Inc.</w:t>
            </w:r>
          </w:p>
        </w:tc>
      </w:tr>
      <w:tr>
        <w:trPr/>
        <w:tc>
          <w:tcPr>
            <w:tcW w:w="3991" w:type="dxa"/>
            <w:tcBorders>
              <w:top w:val="single" w:sz="2" w:space="0" w:color="FFD966"/>
              <w:bottom w:val="single" w:sz="2" w:space="0" w:color="FFD966"/>
              <w:right w:val="single" w:sz="2" w:space="0" w:color="FFD966"/>
            </w:tcBorders>
            <w:shd w:fill="FFF2CC" w:val="clear"/>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SPX Technologies, Inc.</w:t>
            </w:r>
          </w:p>
        </w:tc>
        <w:tc>
          <w:tcPr>
            <w:tcW w:w="3211" w:type="dxa"/>
            <w:tcBorders>
              <w:top w:val="single" w:sz="2" w:space="0" w:color="FFD966"/>
              <w:left w:val="single" w:sz="2" w:space="0" w:color="FFD966"/>
              <w:bottom w:val="single" w:sz="2" w:space="0" w:color="FFD966"/>
            </w:tcBorders>
            <w:shd w:fill="FFF2CC" w:val="clear"/>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Alamo Group Inc.</w:t>
            </w:r>
          </w:p>
        </w:tc>
      </w:tr>
      <w:tr>
        <w:trPr/>
        <w:tc>
          <w:tcPr>
            <w:tcW w:w="3991" w:type="dxa"/>
            <w:tcBorders>
              <w:top w:val="single" w:sz="2" w:space="0" w:color="FFD966"/>
              <w:bottom w:val="single" w:sz="2" w:space="0" w:color="FFD966"/>
              <w:right w:val="single" w:sz="2" w:space="0" w:color="FFD966"/>
            </w:tcBorders>
            <w:tcMar>
              <w:top w:w="28" w:type="dxa"/>
              <w:right w:w="105" w:type="dxa"/>
            </w:tcMar>
            <w:vAlign w:val="center"/>
          </w:tcPr>
          <w:p>
            <w:pPr>
              <w:pStyle w:val="TableContents"/>
              <w:bidi w:val="0"/>
              <w:spacing w:before="0" w:after="0"/>
              <w:ind w:left="0" w:right="0" w:hanging="0"/>
              <w:jc w:val="left"/>
              <w:rPr>
                <w:rFonts w:ascii="Arial;Helvetica;sans-serif" w:hAnsi="Arial;Helvetica;sans-serif"/>
                <w:b w:val="false"/>
                <w:sz w:val="22"/>
              </w:rPr>
            </w:pPr>
            <w:r>
              <w:rPr>
                <w:rFonts w:ascii="Arial;Helvetica;sans-serif" w:hAnsi="Arial;Helvetica;sans-serif"/>
                <w:b w:val="false"/>
                <w:sz w:val="22"/>
              </w:rPr>
              <w:t>Zurn Elkay Water Solutions Corporation</w:t>
            </w:r>
          </w:p>
        </w:tc>
        <w:tc>
          <w:tcPr>
            <w:tcW w:w="3211" w:type="dxa"/>
            <w:tcBorders>
              <w:top w:val="single" w:sz="2" w:space="0" w:color="FFD966"/>
              <w:left w:val="single" w:sz="2" w:space="0" w:color="FFD966"/>
              <w:bottom w:val="single" w:sz="2" w:space="0" w:color="FFD966"/>
            </w:tcBorders>
            <w:tcMar>
              <w:top w:w="28" w:type="dxa"/>
              <w:left w:w="105"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Enpro Inc.</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4"/>
        </w:rPr>
      </w:pPr>
      <w:bookmarkStart w:id="46" w:name="HowCompensationDecisionsAreMade_309666"/>
      <w:bookmarkEnd w:id="46"/>
      <w:r>
        <w:rPr>
          <w:rFonts w:ascii="Arial;Helvetica;sans-serif" w:hAnsi="Arial;Helvetica;sans-serif"/>
          <w:b/>
          <w:sz w:val="24"/>
        </w:rPr>
        <w:t>How Compensation Decisions Are Made</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Role of the Compensation and Human Capital Committee and CEO in Determining Executive Compensation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designs and implements our executive compensation program, evaluates executive performance, including that of the CEO, and oversees, along with the full Board of Directors, the development of executive succession plans.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solicits information from our management and from the Committee’s compensation consultant during the compensation-setting process, but it is the Committee that ultimately sets and approves compensation for our CEO and all other executive officers.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uses substantially the same process for determining CEO compensation as it uses for determining our other executive officers’ compensation. Each year, the Committee reviews all components of compensation for the CEO and for each of our other executives over the course of several regularly scheduled meetings from January to July. Final compensation decisions are made in July for the current fiscal year. The Committee is assisted in its review by members of management, the human resources department, and its compensation consultant.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keeping with our compensation philosophy, the Committee considers three main categories of information with respect to each executive: (i) individual performance; (ii) Company performance; and (iii) market data. The Committee evaluates each executive’s current compensation and solicits input from management on the executive’s potential, performance for the year, leadership skills, and contribution to the Company’s performance. The Committee also considers factors relating to the Company, such as our overall performance and the achievement of specific strategic and operational initiatives. Finally, the Committee assesses the market competitiveness of each executive’s total compensation package.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CEO Compensation</w:t>
      </w:r>
      <w:r>
        <w:rPr>
          <w:rFonts w:ascii="Arial;Helvetica;sans-serif" w:hAnsi="Arial;Helvetica;sans-serif"/>
          <w:sz w:val="20"/>
        </w:rPr>
        <w:t>. The Committee meets with the CEO each year (near the beginning of our fiscal year) to set the CEO’s performance goals (both individual and Company objectives) for the fiscal year. These goals are then reflected in the CEO’s individual performance plan. The CEO periodically reports on his progress with respect to his performance goals at Committee meetings throughout the year. At the end of the fiscal year, the Committee evaluates, in consultation with the independent Chairman of the Board and the rest of the independent directors of the Board, as it deems necessary or appropriate, the CEO’s performance against the goals included in his performance plan for the year. Pursuant to this review, the Committee determines and approves the CEO’s compensation based in part on his achievement of those goals and in part on the Company’s performance, while considering the overall objectives of our compensation program. The Committee also considers the compensation being paid to other CEOs at similarly situated companies in making compensation decisions affecting the CEO.</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42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6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3" descr=""/>
                    <pic:cNvPicPr>
                      <a:picLocks noChangeAspect="1" noChangeArrowheads="1"/>
                    </pic:cNvPicPr>
                  </pic:nvPicPr>
                  <pic:blipFill>
                    <a:blip r:embed="rId94"/>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Other Executives’ Compensation</w:t>
      </w:r>
      <w:r>
        <w:rPr>
          <w:rFonts w:ascii="Arial;Helvetica;sans-serif" w:hAnsi="Arial;Helvetica;sans-serif"/>
          <w:sz w:val="20"/>
        </w:rPr>
        <w:t>. Each fiscal year, each of our non-CEO executives develops an individual performance plan for the fiscal year, with goals that align with the CEO’s objectives, and include individual and Company objectives. These plans are discussed with and approved by the CEO and the executives report to the CEO on their progress towards the achievement of the goals periodically throughout the year. At the end of the year, the CEO and the Committee together assess the performance of the executives. Based upon these evaluations and recommendations from the CEO, the Committee determines the executives’ compensation. The executives do not play a role in the determination of their compensation, other than discussing individual performance objectives and achievements with the CEO.</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Role of the Compensation Consultant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Pay Governance has been engaged by and serves as the Committee’s independent compensation consultant and provides no other services to the Company, outside of advising on compensation matters. The Committee annually reviews its retention of Pay Governance as its compensation consultant, as well as its performance in advising the Committee.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Pay Governance provides the Committee with the objective information and expertise necessary to make informed decisions that are in the best long-term interests of our business and shareowners and also keeps the Committee informed as to compensation trends and regulatory developments affecting public companies in general and the manufacturing industry in particular. The Committee solicits advice and counsel from its consultant on all matters related to executive compensation design and delivery. Specifically, the compensation consultant is requested to provide, and deliver, the following types of services to the Committee: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Competitive data and benchmarking analytics for all components of pay for executive officers (including the CEO);</w:t>
            </w:r>
          </w:p>
        </w:tc>
      </w:tr>
    </w:tbl>
    <w:tbl>
      <w:tblPr>
        <w:tblW w:w="7982" w:type="dxa"/>
        <w:jc w:val="left"/>
        <w:tblInd w:w="0" w:type="dxa"/>
        <w:tblLayout w:type="fixed"/>
        <w:tblCellMar>
          <w:top w:w="0" w:type="dxa"/>
          <w:left w:w="0" w:type="dxa"/>
          <w:bottom w:w="0" w:type="dxa"/>
          <w:right w:w="0" w:type="dxa"/>
        </w:tblCellMar>
      </w:tblPr>
      <w:tblGrid>
        <w:gridCol w:w="271"/>
        <w:gridCol w:w="7711"/>
      </w:tblGrid>
      <w:tr>
        <w:trPr/>
        <w:tc>
          <w:tcPr>
            <w:tcW w:w="271" w:type="dxa"/>
            <w:tcBorders/>
            <w:vAlign w:val="center"/>
          </w:tcPr>
          <w:p>
            <w:pPr>
              <w:pStyle w:val="TableContents"/>
              <w:bidi w:val="0"/>
              <w:spacing w:before="0" w:after="283"/>
              <w:jc w:val="left"/>
              <w:rPr/>
            </w:pPr>
            <w:r>
              <w:rPr/>
              <w:t>●</w:t>
            </w:r>
          </w:p>
        </w:tc>
        <w:tc>
          <w:tcPr>
            <w:tcW w:w="77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Equity dilution, value sharing, and performance assessment analyses relative to peers;</w:t>
            </w:r>
          </w:p>
        </w:tc>
      </w:tr>
    </w:tbl>
    <w:tbl>
      <w:tblPr>
        <w:tblW w:w="7487" w:type="dxa"/>
        <w:jc w:val="left"/>
        <w:tblInd w:w="0" w:type="dxa"/>
        <w:tblLayout w:type="fixed"/>
        <w:tblCellMar>
          <w:top w:w="0" w:type="dxa"/>
          <w:left w:w="0" w:type="dxa"/>
          <w:bottom w:w="0" w:type="dxa"/>
          <w:right w:w="0" w:type="dxa"/>
        </w:tblCellMar>
      </w:tblPr>
      <w:tblGrid>
        <w:gridCol w:w="271"/>
        <w:gridCol w:w="7216"/>
      </w:tblGrid>
      <w:tr>
        <w:trPr/>
        <w:tc>
          <w:tcPr>
            <w:tcW w:w="271" w:type="dxa"/>
            <w:tcBorders/>
            <w:vAlign w:val="center"/>
          </w:tcPr>
          <w:p>
            <w:pPr>
              <w:pStyle w:val="TableContents"/>
              <w:bidi w:val="0"/>
              <w:spacing w:before="0" w:after="283"/>
              <w:jc w:val="left"/>
              <w:rPr/>
            </w:pPr>
            <w:r>
              <w:rPr/>
              <w:t>●</w:t>
            </w:r>
          </w:p>
        </w:tc>
        <w:tc>
          <w:tcPr>
            <w:tcW w:w="721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Compensation program analysis, redesign considerations, and recommendations;</w:t>
            </w:r>
          </w:p>
        </w:tc>
      </w:tr>
    </w:tbl>
    <w:tbl>
      <w:tblPr>
        <w:tblW w:w="6137" w:type="dxa"/>
        <w:jc w:val="left"/>
        <w:tblInd w:w="0" w:type="dxa"/>
        <w:tblLayout w:type="fixed"/>
        <w:tblCellMar>
          <w:top w:w="0" w:type="dxa"/>
          <w:left w:w="0" w:type="dxa"/>
          <w:bottom w:w="0" w:type="dxa"/>
          <w:right w:w="0" w:type="dxa"/>
        </w:tblCellMar>
      </w:tblPr>
      <w:tblGrid>
        <w:gridCol w:w="271"/>
        <w:gridCol w:w="5866"/>
      </w:tblGrid>
      <w:tr>
        <w:trPr/>
        <w:tc>
          <w:tcPr>
            <w:tcW w:w="271" w:type="dxa"/>
            <w:tcBorders/>
            <w:vAlign w:val="center"/>
          </w:tcPr>
          <w:p>
            <w:pPr>
              <w:pStyle w:val="TableContents"/>
              <w:bidi w:val="0"/>
              <w:spacing w:before="0" w:after="283"/>
              <w:jc w:val="left"/>
              <w:rPr/>
            </w:pPr>
            <w:r>
              <w:rPr/>
              <w:t>●</w:t>
            </w:r>
          </w:p>
        </w:tc>
        <w:tc>
          <w:tcPr>
            <w:tcW w:w="58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Diagnostic assessments regarding the rigor of performance goals;</w:t>
            </w:r>
          </w:p>
        </w:tc>
      </w:tr>
    </w:tbl>
    <w:tbl>
      <w:tblPr>
        <w:tblW w:w="6602" w:type="dxa"/>
        <w:jc w:val="left"/>
        <w:tblInd w:w="0" w:type="dxa"/>
        <w:tblLayout w:type="fixed"/>
        <w:tblCellMar>
          <w:top w:w="0" w:type="dxa"/>
          <w:left w:w="0" w:type="dxa"/>
          <w:bottom w:w="0" w:type="dxa"/>
          <w:right w:w="0" w:type="dxa"/>
        </w:tblCellMar>
      </w:tblPr>
      <w:tblGrid>
        <w:gridCol w:w="271"/>
        <w:gridCol w:w="6331"/>
      </w:tblGrid>
      <w:tr>
        <w:trPr/>
        <w:tc>
          <w:tcPr>
            <w:tcW w:w="271" w:type="dxa"/>
            <w:tcBorders/>
            <w:vAlign w:val="center"/>
          </w:tcPr>
          <w:p>
            <w:pPr>
              <w:pStyle w:val="TableContents"/>
              <w:bidi w:val="0"/>
              <w:spacing w:before="0" w:after="283"/>
              <w:jc w:val="left"/>
              <w:rPr/>
            </w:pPr>
            <w:r>
              <w:rPr/>
              <w:t>●</w:t>
            </w:r>
          </w:p>
        </w:tc>
        <w:tc>
          <w:tcPr>
            <w:tcW w:w="63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Tax, accounting, regulatory, and other compensation-related education;</w:t>
            </w:r>
          </w:p>
        </w:tc>
      </w:tr>
    </w:tbl>
    <w:tbl>
      <w:tblPr>
        <w:tblW w:w="8867" w:type="dxa"/>
        <w:jc w:val="left"/>
        <w:tblInd w:w="0" w:type="dxa"/>
        <w:tblLayout w:type="fixed"/>
        <w:tblCellMar>
          <w:top w:w="0" w:type="dxa"/>
          <w:left w:w="0" w:type="dxa"/>
          <w:bottom w:w="0" w:type="dxa"/>
          <w:right w:w="0" w:type="dxa"/>
        </w:tblCellMar>
      </w:tblPr>
      <w:tblGrid>
        <w:gridCol w:w="271"/>
        <w:gridCol w:w="8596"/>
      </w:tblGrid>
      <w:tr>
        <w:trPr/>
        <w:tc>
          <w:tcPr>
            <w:tcW w:w="271" w:type="dxa"/>
            <w:tcBorders/>
            <w:vAlign w:val="center"/>
          </w:tcPr>
          <w:p>
            <w:pPr>
              <w:pStyle w:val="TableContents"/>
              <w:bidi w:val="0"/>
              <w:spacing w:before="0" w:after="283"/>
              <w:jc w:val="left"/>
              <w:rPr/>
            </w:pPr>
            <w:r>
              <w:rPr/>
              <w:t>●</w:t>
            </w:r>
          </w:p>
        </w:tc>
        <w:tc>
          <w:tcPr>
            <w:tcW w:w="85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Individual pay considerations for the CEO, as well as executive officer promotions and new hires;</w:t>
            </w:r>
          </w:p>
        </w:tc>
      </w:tr>
    </w:tbl>
    <w:tbl>
      <w:tblPr>
        <w:tblW w:w="4952" w:type="dxa"/>
        <w:jc w:val="left"/>
        <w:tblInd w:w="0" w:type="dxa"/>
        <w:tblLayout w:type="fixed"/>
        <w:tblCellMar>
          <w:top w:w="0" w:type="dxa"/>
          <w:left w:w="0" w:type="dxa"/>
          <w:bottom w:w="0" w:type="dxa"/>
          <w:right w:w="0" w:type="dxa"/>
        </w:tblCellMar>
      </w:tblPr>
      <w:tblGrid>
        <w:gridCol w:w="271"/>
        <w:gridCol w:w="4681"/>
      </w:tblGrid>
      <w:tr>
        <w:trPr/>
        <w:tc>
          <w:tcPr>
            <w:tcW w:w="271" w:type="dxa"/>
            <w:tcBorders/>
            <w:vAlign w:val="center"/>
          </w:tcPr>
          <w:p>
            <w:pPr>
              <w:pStyle w:val="TableContents"/>
              <w:bidi w:val="0"/>
              <w:spacing w:before="0" w:after="283"/>
              <w:jc w:val="left"/>
              <w:rPr/>
            </w:pPr>
            <w:r>
              <w:rPr/>
              <w:t>●</w:t>
            </w:r>
          </w:p>
        </w:tc>
        <w:tc>
          <w:tcPr>
            <w:tcW w:w="46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Competitive analysis of pay for other senior leaders;</w:t>
            </w:r>
          </w:p>
        </w:tc>
      </w:tr>
    </w:tbl>
    <w:tbl>
      <w:tblPr>
        <w:tblW w:w="6857" w:type="dxa"/>
        <w:jc w:val="left"/>
        <w:tblInd w:w="0" w:type="dxa"/>
        <w:tblLayout w:type="fixed"/>
        <w:tblCellMar>
          <w:top w:w="0" w:type="dxa"/>
          <w:left w:w="0" w:type="dxa"/>
          <w:bottom w:w="0" w:type="dxa"/>
          <w:right w:w="0" w:type="dxa"/>
        </w:tblCellMar>
      </w:tblPr>
      <w:tblGrid>
        <w:gridCol w:w="271"/>
        <w:gridCol w:w="6586"/>
      </w:tblGrid>
      <w:tr>
        <w:trPr/>
        <w:tc>
          <w:tcPr>
            <w:tcW w:w="271" w:type="dxa"/>
            <w:tcBorders/>
            <w:vAlign w:val="center"/>
          </w:tcPr>
          <w:p>
            <w:pPr>
              <w:pStyle w:val="TableContents"/>
              <w:bidi w:val="0"/>
              <w:spacing w:before="0" w:after="283"/>
              <w:jc w:val="left"/>
              <w:rPr/>
            </w:pPr>
            <w:r>
              <w:rPr/>
              <w:t>●</w:t>
            </w:r>
          </w:p>
        </w:tc>
        <w:tc>
          <w:tcPr>
            <w:tcW w:w="65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of compensation plan payouts for the CEO and executive officers;</w:t>
            </w:r>
          </w:p>
        </w:tc>
      </w:tr>
    </w:tbl>
    <w:tbl>
      <w:tblPr>
        <w:tblW w:w="6257" w:type="dxa"/>
        <w:jc w:val="left"/>
        <w:tblInd w:w="0" w:type="dxa"/>
        <w:tblLayout w:type="fixed"/>
        <w:tblCellMar>
          <w:top w:w="0" w:type="dxa"/>
          <w:left w:w="0" w:type="dxa"/>
          <w:bottom w:w="0" w:type="dxa"/>
          <w:right w:w="0" w:type="dxa"/>
        </w:tblCellMar>
      </w:tblPr>
      <w:tblGrid>
        <w:gridCol w:w="271"/>
        <w:gridCol w:w="5986"/>
      </w:tblGrid>
      <w:tr>
        <w:trPr/>
        <w:tc>
          <w:tcPr>
            <w:tcW w:w="271" w:type="dxa"/>
            <w:tcBorders/>
            <w:vAlign w:val="center"/>
          </w:tcPr>
          <w:p>
            <w:pPr>
              <w:pStyle w:val="TableContents"/>
              <w:bidi w:val="0"/>
              <w:spacing w:before="0" w:after="283"/>
              <w:jc w:val="left"/>
              <w:rPr/>
            </w:pPr>
            <w:r>
              <w:rPr/>
              <w:t>●</w:t>
            </w:r>
          </w:p>
        </w:tc>
        <w:tc>
          <w:tcPr>
            <w:tcW w:w="59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Assessment of risk regarding compensation policies and practices;</w:t>
            </w:r>
          </w:p>
        </w:tc>
      </w:tr>
    </w:tbl>
    <w:tbl>
      <w:tblPr>
        <w:tblW w:w="4877" w:type="dxa"/>
        <w:jc w:val="left"/>
        <w:tblInd w:w="0" w:type="dxa"/>
        <w:tblLayout w:type="fixed"/>
        <w:tblCellMar>
          <w:top w:w="0" w:type="dxa"/>
          <w:left w:w="0" w:type="dxa"/>
          <w:bottom w:w="0" w:type="dxa"/>
          <w:right w:w="0" w:type="dxa"/>
        </w:tblCellMar>
      </w:tblPr>
      <w:tblGrid>
        <w:gridCol w:w="271"/>
        <w:gridCol w:w="4606"/>
      </w:tblGrid>
      <w:tr>
        <w:trPr/>
        <w:tc>
          <w:tcPr>
            <w:tcW w:w="271" w:type="dxa"/>
            <w:tcBorders/>
            <w:vAlign w:val="center"/>
          </w:tcPr>
          <w:p>
            <w:pPr>
              <w:pStyle w:val="TableContents"/>
              <w:bidi w:val="0"/>
              <w:spacing w:before="0" w:after="283"/>
              <w:jc w:val="left"/>
              <w:rPr/>
            </w:pPr>
            <w:r>
              <w:rPr/>
              <w:t>●</w:t>
            </w:r>
          </w:p>
        </w:tc>
        <w:tc>
          <w:tcPr>
            <w:tcW w:w="46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Assessment of pay-for-performance alignment; and</w:t>
            </w:r>
          </w:p>
        </w:tc>
      </w:tr>
    </w:tbl>
    <w:tbl>
      <w:tblPr>
        <w:tblW w:w="3617" w:type="dxa"/>
        <w:jc w:val="left"/>
        <w:tblInd w:w="0" w:type="dxa"/>
        <w:tblLayout w:type="fixed"/>
        <w:tblCellMar>
          <w:top w:w="0" w:type="dxa"/>
          <w:left w:w="0" w:type="dxa"/>
          <w:bottom w:w="0" w:type="dxa"/>
          <w:right w:w="0" w:type="dxa"/>
        </w:tblCellMar>
      </w:tblPr>
      <w:tblGrid>
        <w:gridCol w:w="271"/>
        <w:gridCol w:w="3346"/>
      </w:tblGrid>
      <w:tr>
        <w:trPr/>
        <w:tc>
          <w:tcPr>
            <w:tcW w:w="271" w:type="dxa"/>
            <w:tcBorders/>
            <w:vAlign w:val="center"/>
          </w:tcPr>
          <w:p>
            <w:pPr>
              <w:pStyle w:val="TableContents"/>
              <w:bidi w:val="0"/>
              <w:spacing w:before="0" w:after="283"/>
              <w:jc w:val="left"/>
              <w:rPr/>
            </w:pPr>
            <w:r>
              <w:rPr/>
              <w:t>●</w:t>
            </w:r>
          </w:p>
        </w:tc>
        <w:tc>
          <w:tcPr>
            <w:tcW w:w="33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CD&amp;A review and recommendations.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Pay Governance attends each of the Committee meetings and attends executive sessions at the request of the Committee. The compensation consultant also collaborates with our management team for purposes of meeting planning, program design and analysis and other logistics, but all executive compensation-related services performed by the consultants are at the direction of the Committee.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reviews the fees and performance of Pay Governance each year and provides feedback to the consultant as necessary and provides a full report of its review to the Board. The Committee has the authority to terminate the relationship with Pay Governance at any point in time.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Each year, the Committee reviews and determines the independence of its compensation consultant. When gauging the independence of an adviser, the Committee considers the following six factors, as required by the New York Stock Exchange and SEC rules and regulations:</w:t>
      </w:r>
    </w:p>
    <w:tbl>
      <w:tblPr>
        <w:tblW w:w="5687" w:type="dxa"/>
        <w:jc w:val="left"/>
        <w:tblInd w:w="0" w:type="dxa"/>
        <w:tblLayout w:type="fixed"/>
        <w:tblCellMar>
          <w:top w:w="0" w:type="dxa"/>
          <w:left w:w="0" w:type="dxa"/>
          <w:bottom w:w="0" w:type="dxa"/>
          <w:right w:w="0" w:type="dxa"/>
        </w:tblCellMar>
      </w:tblPr>
      <w:tblGrid>
        <w:gridCol w:w="271"/>
        <w:gridCol w:w="5416"/>
      </w:tblGrid>
      <w:tr>
        <w:trPr/>
        <w:tc>
          <w:tcPr>
            <w:tcW w:w="271" w:type="dxa"/>
            <w:tcBorders/>
            <w:vAlign w:val="center"/>
          </w:tcPr>
          <w:p>
            <w:pPr>
              <w:pStyle w:val="TableContents"/>
              <w:bidi w:val="0"/>
              <w:spacing w:before="0" w:after="283"/>
              <w:jc w:val="left"/>
              <w:rPr/>
            </w:pPr>
            <w:r>
              <w:rPr/>
              <w:t>●</w:t>
            </w:r>
          </w:p>
        </w:tc>
        <w:tc>
          <w:tcPr>
            <w:tcW w:w="541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adviser’s firm provides other services to the Company;</w:t>
            </w:r>
          </w:p>
        </w:tc>
      </w:tr>
    </w:tbl>
    <w:tbl>
      <w:tblPr>
        <w:tblW w:w="9617" w:type="dxa"/>
        <w:jc w:val="left"/>
        <w:tblInd w:w="0" w:type="dxa"/>
        <w:tblLayout w:type="fixed"/>
        <w:tblCellMar>
          <w:top w:w="0" w:type="dxa"/>
          <w:left w:w="0" w:type="dxa"/>
          <w:bottom w:w="0" w:type="dxa"/>
          <w:right w:w="0" w:type="dxa"/>
        </w:tblCellMar>
      </w:tblPr>
      <w:tblGrid>
        <w:gridCol w:w="271"/>
        <w:gridCol w:w="9346"/>
      </w:tblGrid>
      <w:tr>
        <w:trPr/>
        <w:tc>
          <w:tcPr>
            <w:tcW w:w="271" w:type="dxa"/>
            <w:tcBorders/>
            <w:vAlign w:val="center"/>
          </w:tcPr>
          <w:p>
            <w:pPr>
              <w:pStyle w:val="TableContents"/>
              <w:bidi w:val="0"/>
              <w:spacing w:before="0" w:after="283"/>
              <w:jc w:val="left"/>
              <w:rPr/>
            </w:pPr>
            <w:r>
              <w:rPr/>
              <w:t>●</w:t>
            </w:r>
          </w:p>
        </w:tc>
        <w:tc>
          <w:tcPr>
            <w:tcW w:w="93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 of fees received from the Company as a percentage of the total revenue of the adviser’s firm;</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43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6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94" descr=""/>
                    <pic:cNvPicPr>
                      <a:picLocks noChangeAspect="1" noChangeArrowheads="1"/>
                    </pic:cNvPicPr>
                  </pic:nvPicPr>
                  <pic:blipFill>
                    <a:blip r:embed="rId95"/>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tbl>
      <w:tblPr>
        <w:tblW w:w="7847" w:type="dxa"/>
        <w:jc w:val="left"/>
        <w:tblInd w:w="0" w:type="dxa"/>
        <w:tblLayout w:type="fixed"/>
        <w:tblCellMar>
          <w:top w:w="0" w:type="dxa"/>
          <w:left w:w="0" w:type="dxa"/>
          <w:bottom w:w="0" w:type="dxa"/>
          <w:right w:w="0" w:type="dxa"/>
        </w:tblCellMar>
      </w:tblPr>
      <w:tblGrid>
        <w:gridCol w:w="271"/>
        <w:gridCol w:w="7576"/>
      </w:tblGrid>
      <w:tr>
        <w:trPr/>
        <w:tc>
          <w:tcPr>
            <w:tcW w:w="271" w:type="dxa"/>
            <w:tcBorders/>
            <w:vAlign w:val="center"/>
          </w:tcPr>
          <w:p>
            <w:pPr>
              <w:pStyle w:val="TableContents"/>
              <w:bidi w:val="0"/>
              <w:spacing w:before="0" w:after="283"/>
              <w:jc w:val="left"/>
              <w:rPr/>
            </w:pPr>
            <w:r>
              <w:rPr/>
              <w:t>●</w:t>
            </w:r>
          </w:p>
        </w:tc>
        <w:tc>
          <w:tcPr>
            <w:tcW w:w="75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Policies and procedures of the adviser’s firm designed to prevent conflicts of interest;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business or personal relationship of the compensation consultant, counsel or other adviser with members of the compensation committee;</w:t>
            </w:r>
          </w:p>
        </w:tc>
      </w:tr>
    </w:tbl>
    <w:tbl>
      <w:tblPr>
        <w:tblW w:w="4127" w:type="dxa"/>
        <w:jc w:val="left"/>
        <w:tblInd w:w="0" w:type="dxa"/>
        <w:tblLayout w:type="fixed"/>
        <w:tblCellMar>
          <w:top w:w="0" w:type="dxa"/>
          <w:left w:w="0" w:type="dxa"/>
          <w:bottom w:w="0" w:type="dxa"/>
          <w:right w:w="0" w:type="dxa"/>
        </w:tblCellMar>
      </w:tblPr>
      <w:tblGrid>
        <w:gridCol w:w="271"/>
        <w:gridCol w:w="3856"/>
      </w:tblGrid>
      <w:tr>
        <w:trPr/>
        <w:tc>
          <w:tcPr>
            <w:tcW w:w="271"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Company stock owned by the adviser;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business or personal relationship between the adviser or the adviser’s firm and an executive officer of the Company.</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Based on the Committee’s review of the factors above, it determined that its adviser, Pay Governance, is independent and free of conflicts of interest.</w:t>
      </w:r>
    </w:p>
    <w:p>
      <w:pPr>
        <w:pStyle w:val="TextBody"/>
        <w:bidi w:val="0"/>
        <w:spacing w:before="240" w:after="120"/>
        <w:ind w:left="0" w:right="0" w:hanging="0"/>
        <w:jc w:val="left"/>
        <w:rPr>
          <w:rFonts w:ascii="Arial;Helvetica;sans-serif" w:hAnsi="Arial;Helvetica;sans-serif"/>
          <w:b/>
          <w:sz w:val="24"/>
        </w:rPr>
      </w:pPr>
      <w:bookmarkStart w:id="47" w:name="a2023ExecutiveCompensationProgram_732815"/>
      <w:bookmarkEnd w:id="47"/>
      <w:r>
        <w:rPr>
          <w:rFonts w:ascii="Arial;Helvetica;sans-serif" w:hAnsi="Arial;Helvetica;sans-serif"/>
          <w:b/>
          <w:sz w:val="24"/>
        </w:rPr>
        <w:t>2026 Executive Compensation Program</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Base Salary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Base salary provides a competitive level of fixed income for our executives. We target base salary levels for each tenured executive position at median pay levels for similar positions in the market. The level of base salary an executive receives is determined based on the results of an annual evaluation of the executive with respect to certain objective and subjective factors. Objective factors include the executive’s level of responsibility, skills and training, accomplishment of the goals set forth in such person’s annual individual performance plan and, for newer executives, prior experience. Subjective factors include the Committee’s assessment of the executive’s potential and individual contributions. The Committee evaluates the CEO with input from the independent Chairman of the Board and the other non-management Board members, as noted above. The CEO evaluates each of the executives who report directly to him. Both objective and subjective factors are considered relevant, and the CEO makes recommendations to the Committee for changes to base salary (other than his own) during the annual compensation setting process. The Committee evaluates the CEO’s and other executives’ base salary on an annual basis and may make changes in its discretion as part of the broader compensation setting process.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setting the NEOs’ base salaries for Fiscal 2026, the Committee considered all of the factors described above for each executive and conducted an examination of the applicable market data.</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For Fiscal 2026, the Committee approved salary increases at the July 2025 Committee meeting for Mr. Chowbey of 1.75%, Mr. Watson of 3%, Messrs. Bersaglini and Hamadi of 2.5%, and Ms. Keating of 5%. </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Annual Incentive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Overview</w:t>
      </w:r>
      <w:r>
        <w:rPr>
          <w:rFonts w:ascii="Arial;Helvetica;sans-serif" w:hAnsi="Arial;Helvetica;sans-serif"/>
          <w:sz w:val="20"/>
        </w:rPr>
        <w:t>. The AIP is a formula-based, pay-for-performance annual cash incentive plan. The AIP is the main vehicle we use to reward participants for their contributions to strong annual business performance. The purpose of the AIP is to motivate participants to help the Company to achieve pre-established shorter-term financial and strategic goals, which are designed to create sustainable long-term shareowner value, and to reward participants to the extent the Company achieves those goals. All executives, senior management team members, and other team members participate in the AIP.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AIP Target Amounts</w:t>
      </w:r>
      <w:r>
        <w:rPr>
          <w:rFonts w:ascii="Arial;Helvetica;sans-serif" w:hAnsi="Arial;Helvetica;sans-serif"/>
          <w:sz w:val="20"/>
        </w:rPr>
        <w:t>. AIP target amounts are established for tenured executives based on a combination of individual factors and market-competitive data for similar jobs at other companies and are established as a percentage of base salary. Consistent with our executive compensation philosophy, individuals with greater job responsibilities have a greater proportion of their total cash compensation tied to Company performance through the AIP. Each year, the Committee sets AIP target amounts for our CEO and other executives based on recommendations from our management and the CEO (except with respect to his own target AIP) and its own evaluation of the competitiveness of each executive’s compensation package based on input from its compensation consultant.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AIP Performance Goals</w:t>
      </w:r>
      <w:r>
        <w:rPr>
          <w:rFonts w:ascii="Arial;Helvetica;sans-serif" w:hAnsi="Arial;Helvetica;sans-serif"/>
          <w:sz w:val="20"/>
        </w:rPr>
        <w:t>. We primarily link AIP opportunities directly with Company performance to maximize shareowner value. The Board approves the goals for overall Company performance based upon management’s financial and strategic plans.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Committee has the responsibility to review and approve the AIP design. </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44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6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95" descr=""/>
                    <pic:cNvPicPr>
                      <a:picLocks noChangeAspect="1" noChangeArrowheads="1"/>
                    </pic:cNvPicPr>
                  </pic:nvPicPr>
                  <pic:blipFill>
                    <a:blip r:embed="rId96"/>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Individual Performance</w:t>
      </w:r>
      <w:r>
        <w:rPr>
          <w:rFonts w:ascii="Arial;Helvetica;sans-serif" w:hAnsi="Arial;Helvetica;sans-serif"/>
          <w:sz w:val="20"/>
        </w:rPr>
        <w:t xml:space="preserve">. The Committee reviews and approves the individual performance goals of the CEO, and the CEO has the responsibility to establish individual goals for the NEOs. Less than 10% of the AIP opportunities in Fiscal 2026 were dependent upon individual ratings that were based on a combination of individual objectives and the behaviors around our cultural values.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2026 AIP</w:t>
      </w:r>
      <w:r>
        <w:rPr>
          <w:rFonts w:ascii="Arial;Helvetica;sans-serif" w:hAnsi="Arial;Helvetica;sans-serif"/>
          <w:sz w:val="20"/>
        </w:rPr>
        <w:t>. For all NEOs, the weighting of Corporate PWCPS was reduced from 30% to 20% to allow for a 10% weighting on nonfinancial goals. One-fourth of the nonfinancial goals was tied to a key enterprise safety metric while the remainder was linked to an individual rating as described previously. The ESG modifier of +/- 10% was removed from the 2026 AIP design. The two Segment Presidents had their weightings of Segment Revenue and Segment Adjusted EBIT increased to 25% and 20% (from 20% and 15%), respectively, and their weighting on Corporate Adjusted EBITDA reduced from 35% to 25%.These changes to the Segment Presidents’ weightings placed an equal weighting of 45% on both Corporate and Segment financial metrics.</w:t>
      </w:r>
    </w:p>
    <w:tbl>
      <w:tblPr>
        <w:tblW w:w="8389" w:type="dxa"/>
        <w:jc w:val="left"/>
        <w:tblInd w:w="0" w:type="dxa"/>
        <w:tblLayout w:type="fixed"/>
        <w:tblCellMar>
          <w:top w:w="0" w:type="dxa"/>
          <w:left w:w="0" w:type="dxa"/>
          <w:bottom w:w="0" w:type="dxa"/>
          <w:right w:w="0" w:type="dxa"/>
        </w:tblCellMar>
      </w:tblPr>
      <w:tblGrid>
        <w:gridCol w:w="2761"/>
        <w:gridCol w:w="1261"/>
        <w:gridCol w:w="2341"/>
        <w:gridCol w:w="202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r>
      <w:tr>
        <w:trPr/>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Metrics</w:t>
            </w:r>
          </w:p>
        </w:tc>
        <w:tc>
          <w:tcPr>
            <w:tcW w:w="12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Goal Setting</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CEO and Corporate ELT</w:t>
            </w:r>
          </w:p>
        </w:tc>
        <w:tc>
          <w:tcPr>
            <w:tcW w:w="20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Segment Presidents</w:t>
            </w:r>
          </w:p>
        </w:tc>
      </w:tr>
      <w:tr>
        <w:trPr/>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Kennametal Revenue</w:t>
            </w:r>
          </w:p>
        </w:tc>
        <w:tc>
          <w:tcPr>
            <w:tcW w:w="12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6-months</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20%</w:t>
            </w:r>
          </w:p>
        </w:tc>
        <w:tc>
          <w:tcPr>
            <w:tcW w:w="20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pPr>
            <w:r>
              <w:rPr/>
              <w:t>–</w:t>
            </w:r>
          </w:p>
        </w:tc>
      </w:tr>
      <w:tr>
        <w:trPr/>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Kennametal Adjusted EBITDA</w:t>
            </w:r>
          </w:p>
        </w:tc>
        <w:tc>
          <w:tcPr>
            <w:tcW w:w="12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6-months</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50%</w:t>
            </w:r>
          </w:p>
        </w:tc>
        <w:tc>
          <w:tcPr>
            <w:tcW w:w="20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25%</w:t>
            </w:r>
          </w:p>
        </w:tc>
      </w:tr>
      <w:tr>
        <w:trPr/>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Kennametal PWCPS</w:t>
            </w:r>
          </w:p>
        </w:tc>
        <w:tc>
          <w:tcPr>
            <w:tcW w:w="12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Annual</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20%</w:t>
            </w:r>
          </w:p>
        </w:tc>
        <w:tc>
          <w:tcPr>
            <w:tcW w:w="20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20%</w:t>
            </w:r>
          </w:p>
        </w:tc>
      </w:tr>
      <w:tr>
        <w:trPr/>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Segment Revenue</w:t>
            </w:r>
          </w:p>
        </w:tc>
        <w:tc>
          <w:tcPr>
            <w:tcW w:w="12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6-months</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pPr>
            <w:r>
              <w:rPr/>
              <w:t>–</w:t>
            </w:r>
          </w:p>
        </w:tc>
        <w:tc>
          <w:tcPr>
            <w:tcW w:w="20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25%</w:t>
            </w:r>
          </w:p>
        </w:tc>
      </w:tr>
      <w:tr>
        <w:trPr/>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Segment Adjusted EBIT</w:t>
            </w:r>
          </w:p>
        </w:tc>
        <w:tc>
          <w:tcPr>
            <w:tcW w:w="12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6-months</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pPr>
            <w:r>
              <w:rPr/>
              <w:t>–</w:t>
            </w:r>
          </w:p>
        </w:tc>
        <w:tc>
          <w:tcPr>
            <w:tcW w:w="20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20%</w:t>
            </w:r>
          </w:p>
        </w:tc>
      </w:tr>
      <w:tr>
        <w:trPr/>
        <w:tc>
          <w:tcPr>
            <w:tcW w:w="27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Nonfinancial Goals</w:t>
            </w:r>
          </w:p>
        </w:tc>
        <w:tc>
          <w:tcPr>
            <w:tcW w:w="12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Annual</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10%</w:t>
            </w:r>
          </w:p>
        </w:tc>
        <w:tc>
          <w:tcPr>
            <w:tcW w:w="20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Arial;Helvetica;sans-serif" w:hAnsi="Arial;Helvetica;sans-serif"/>
                <w:sz w:val="20"/>
              </w:rPr>
            </w:pPr>
            <w:r>
              <w:rPr>
                <w:rFonts w:ascii="Arial;Helvetica;sans-serif" w:hAnsi="Arial;Helvetica;sans-serif"/>
                <w:sz w:val="20"/>
              </w:rPr>
              <w:t>10%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Committee and management believe the use of Revenue and Segment Revenue will help to focus team members on increasing market share, customer service, and proper pricing of products. Adjusted EBITDA, Adjusted EBIT and PWCPS will help to focus team members on the successful execution of the simplification/modernization of manufacturing efforts at the Company.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Performance goals for Revenue, Segment Revenue, Adjusted EBITDA and Adjusted EBIT were set by the Committee for the two six-month increment periods of July 1, 2025 through December 31, 2025 and January 1, 2026 through June 30, 2026. The rationale for maintaining financial performance goals on a half-year basis was to better align the goal setting process to the cyclicality and volatility of the Company’s industry and its rapid impact on the Company’s operational and financial results. The Committee was concerned that establishing full-year financial performance goals could result in a plan that was either too challenging or not challenging enough given the timing of our fiscal year in relation to a number of factors including persistent higher inflation (particularly regarding rare earth minerals), the continuing uncertainty around tariffs and global trade, the protracted Eastern European conflict, and continuing tensions among the G-7 countries and China. PWCPS performance goals were set by the Committee on an annual basis to reflect lower volatility compared to revenue and profit performance.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table below shows the two nonfinancial goals that comprised 10% weighting within the AIP.</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84"/>
        <w:gridCol w:w="346"/>
        <w:gridCol w:w="1176"/>
        <w:gridCol w:w="1318"/>
        <w:gridCol w:w="346"/>
        <w:gridCol w:w="3235"/>
      </w:tblGrid>
      <w:tr>
        <w:trPr/>
        <w:tc>
          <w:tcPr>
            <w:tcW w:w="3784"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Nonfinancial Goal</w:t>
            </w:r>
          </w:p>
        </w:tc>
        <w:tc>
          <w:tcPr>
            <w:tcW w:w="346" w:type="dxa"/>
            <w:tcBorders/>
            <w:shd w:fill="E5E5E5" w:val="clear"/>
            <w:vAlign w:val="center"/>
          </w:tcPr>
          <w:p>
            <w:pPr>
              <w:pStyle w:val="TableContents"/>
              <w:bidi w:val="0"/>
              <w:spacing w:before="0" w:after="0"/>
              <w:ind w:left="0" w:right="0" w:hanging="0"/>
              <w:jc w:val="left"/>
              <w:rPr/>
            </w:pPr>
            <w:r>
              <w:rPr/>
              <w:t>  ​ ​ ​</w:t>
            </w:r>
          </w:p>
        </w:tc>
        <w:tc>
          <w:tcPr>
            <w:tcW w:w="11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Overall Weighting</w:t>
            </w:r>
          </w:p>
        </w:tc>
        <w:tc>
          <w:tcPr>
            <w:tcW w:w="1318"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46" w:type="dxa"/>
            <w:tcBorders/>
            <w:shd w:fill="E5E5E5" w:val="clear"/>
            <w:vAlign w:val="center"/>
          </w:tcPr>
          <w:p>
            <w:pPr>
              <w:pStyle w:val="TableContents"/>
              <w:bidi w:val="0"/>
              <w:spacing w:before="0" w:after="0"/>
              <w:ind w:left="0" w:right="0" w:hanging="0"/>
              <w:jc w:val="center"/>
              <w:rPr/>
            </w:pPr>
            <w:r>
              <w:rPr/>
              <w:t>  ​ ​ ​</w:t>
            </w:r>
          </w:p>
        </w:tc>
        <w:tc>
          <w:tcPr>
            <w:tcW w:w="3235"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Comments</w:t>
            </w:r>
          </w:p>
        </w:tc>
      </w:tr>
      <w:tr>
        <w:trPr/>
        <w:tc>
          <w:tcPr>
            <w:tcW w:w="3784"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Average FSI risk identified per month across 36 manufacturing locations (1)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1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2.5%</w:t>
            </w:r>
          </w:p>
        </w:tc>
        <w:tc>
          <w:tcPr>
            <w:tcW w:w="1318"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&gt;1.75 </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3235"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Capped at 2.5% payout if goal achieved, otherwise no payout occurs</w:t>
            </w:r>
          </w:p>
        </w:tc>
      </w:tr>
      <w:tr>
        <w:trPr/>
        <w:tc>
          <w:tcPr>
            <w:tcW w:w="3784"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Individual Rating (based on objectives achieved and cultural behaviors fulfilled)</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17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7.5%</w:t>
            </w:r>
          </w:p>
        </w:tc>
        <w:tc>
          <w:tcPr>
            <w:tcW w:w="1318"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Rating of 3 on a 5 scale</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3235"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Payouts range from 0% to 10% with a 7.5% target</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45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6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96" descr=""/>
                    <pic:cNvPicPr>
                      <a:picLocks noChangeAspect="1" noChangeArrowheads="1"/>
                    </pic:cNvPicPr>
                  </pic:nvPicPr>
                  <pic:blipFill>
                    <a:blip r:embed="rId97"/>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safety goal focused on fatal and serious incidents (“FSI”) risks identified (along with mitigation action plans in place within 24 hours to address the identified risks) across the manufacturing locations. The Committee retained the discretion to reduce payments for safety risks and occurrences even if the FSI goal was achieved.</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2026 Target AIP Amounts</w:t>
      </w:r>
      <w:r>
        <w:rPr>
          <w:rFonts w:ascii="Arial;Helvetica;sans-serif" w:hAnsi="Arial;Helvetica;sans-serif"/>
          <w:sz w:val="20"/>
        </w:rPr>
        <w:t>. For 2026, the Committee approved target AIP amounts as a percentage of base salary for our NEOs at the following levels:</w:t>
      </w:r>
    </w:p>
    <w:tbl>
      <w:tblPr>
        <w:tblW w:w="7113" w:type="dxa"/>
        <w:jc w:val="left"/>
        <w:tblInd w:w="0" w:type="dxa"/>
        <w:tblLayout w:type="fixed"/>
        <w:tblCellMar>
          <w:top w:w="0" w:type="dxa"/>
          <w:left w:w="0" w:type="dxa"/>
          <w:bottom w:w="0" w:type="dxa"/>
          <w:right w:w="0" w:type="dxa"/>
        </w:tblCellMar>
      </w:tblPr>
      <w:tblGrid>
        <w:gridCol w:w="1576"/>
        <w:gridCol w:w="346"/>
        <w:gridCol w:w="5191"/>
      </w:tblGrid>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91" w:type="dxa"/>
            <w:tcBorders/>
            <w:vAlign w:val="center"/>
          </w:tcPr>
          <w:p>
            <w:pPr>
              <w:pStyle w:val="TableContents"/>
              <w:bidi w:val="0"/>
              <w:spacing w:before="0" w:after="0"/>
              <w:ind w:left="0" w:right="0" w:hanging="0"/>
              <w:jc w:val="left"/>
              <w:rPr/>
            </w:pPr>
            <w:r>
              <w:rPr/>
              <w:t>​</w:t>
            </w:r>
          </w:p>
        </w:tc>
      </w:tr>
      <w:tr>
        <w:trPr/>
        <w:tc>
          <w:tcPr>
            <w:tcW w:w="1576"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shd w:fill="E5E5E5" w:val="clear"/>
            <w:vAlign w:val="center"/>
          </w:tcPr>
          <w:p>
            <w:pPr>
              <w:pStyle w:val="TableContents"/>
              <w:bidi w:val="0"/>
              <w:spacing w:before="0" w:after="0"/>
              <w:ind w:left="0" w:right="0" w:hanging="0"/>
              <w:jc w:val="left"/>
              <w:rPr/>
            </w:pPr>
            <w:r>
              <w:rPr/>
              <w:t>  ​ ​ ​</w:t>
            </w:r>
          </w:p>
        </w:tc>
        <w:tc>
          <w:tcPr>
            <w:tcW w:w="519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 Annual Incentive Amount as a Percentage of Base Salary</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519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519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75%</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519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75%</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519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75%</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519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46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16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97" descr=""/>
                    <pic:cNvPicPr>
                      <a:picLocks noChangeAspect="1" noChangeArrowheads="1"/>
                    </pic:cNvPicPr>
                  </pic:nvPicPr>
                  <pic:blipFill>
                    <a:blip r:embed="rId98"/>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tables present the possible payouts under the AIP at various levels of performance relative to the target performance goals established for the year: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2026 Corporate Financial Performance Metrics.</w:t>
      </w:r>
    </w:p>
    <w:p>
      <w:pPr>
        <w:pStyle w:val="TextBody"/>
        <w:bidi w:val="0"/>
        <w:spacing w:before="0" w:after="0"/>
        <w:ind w:left="0" w:right="0" w:hanging="0"/>
        <w:jc w:val="left"/>
        <w:rPr/>
      </w:pPr>
      <w:r>
        <w:rPr/>
        <w:t>​</w:t>
      </w:r>
    </w:p>
    <w:tbl>
      <w:tblPr>
        <w:tblW w:w="9280" w:type="dxa"/>
        <w:jc w:val="left"/>
        <w:tblInd w:w="0" w:type="dxa"/>
        <w:tblLayout w:type="fixed"/>
        <w:tblCellMar>
          <w:top w:w="0" w:type="dxa"/>
          <w:left w:w="0" w:type="dxa"/>
          <w:bottom w:w="0" w:type="dxa"/>
          <w:right w:w="0" w:type="dxa"/>
        </w:tblCellMar>
      </w:tblPr>
      <w:tblGrid>
        <w:gridCol w:w="3451"/>
        <w:gridCol w:w="346"/>
        <w:gridCol w:w="1531"/>
        <w:gridCol w:w="346"/>
        <w:gridCol w:w="916"/>
        <w:gridCol w:w="406"/>
        <w:gridCol w:w="616"/>
        <w:gridCol w:w="406"/>
        <w:gridCol w:w="871"/>
        <w:gridCol w:w="391"/>
      </w:tblGrid>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451"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5092" w:type="dxa"/>
            <w:gridSpan w:val="7"/>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Performance Range as a Percentage of Target</w:t>
            </w:r>
          </w:p>
        </w:tc>
        <w:tc>
          <w:tcPr>
            <w:tcW w:w="391" w:type="dxa"/>
            <w:tcBorders/>
            <w:shd w:fill="E5E5E5" w:val="clear"/>
            <w:vAlign w:val="center"/>
          </w:tcPr>
          <w:p>
            <w:pPr>
              <w:pStyle w:val="TableContents"/>
              <w:bidi w:val="0"/>
              <w:spacing w:before="0" w:after="1"/>
              <w:ind w:left="0" w:right="0" w:hanging="0"/>
              <w:jc w:val="left"/>
              <w:rPr/>
            </w:pPr>
            <w:r>
              <w:rPr/>
              <w:t>​</w:t>
            </w:r>
          </w:p>
        </w:tc>
      </w:tr>
      <w:tr>
        <w:trPr/>
        <w:tc>
          <w:tcPr>
            <w:tcW w:w="3451"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Kennametal Metric</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53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Below Threshold</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91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Threshold</w:t>
            </w:r>
          </w:p>
        </w:tc>
        <w:tc>
          <w:tcPr>
            <w:tcW w:w="40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61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Target</w:t>
            </w:r>
          </w:p>
        </w:tc>
        <w:tc>
          <w:tcPr>
            <w:tcW w:w="40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87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Maximum</w:t>
            </w:r>
          </w:p>
        </w:tc>
        <w:tc>
          <w:tcPr>
            <w:tcW w:w="391"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w:t>
            </w:r>
          </w:p>
        </w:tc>
      </w:tr>
      <w:tr>
        <w:trPr/>
        <w:tc>
          <w:tcPr>
            <w:tcW w:w="345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 (Corporate and Segment)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53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Less than 92%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5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Adjusted EBITDA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53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Less than 75%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6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87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5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PWCPS</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53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More than 110%</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6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87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5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Metal Cutting Segment Adjusted EBIT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53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Less than 56%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87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5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Infrastructure Segment Adjusted EBIT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53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Less than 59%</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87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5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Payout Range for Each Metric Above</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53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0%</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6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87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 AIP is awarded with respect to the particular metric if actual performance is below the threshold for the performance goal and no payout is made in excess of 200% of the AIP target amount, regardless of the performance achieved. Under the terms of the AIP, the Committee makes the same adjustments that are made for non-recurring or unusual items in our financial results as reported to our shareowners in determining whether performance goals have been met.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2026 Financial Performance Goals</w:t>
      </w:r>
      <w:r>
        <w:rPr>
          <w:rFonts w:ascii="Arial;Helvetica;sans-serif" w:hAnsi="Arial;Helvetica;sans-serif"/>
          <w:sz w:val="20"/>
        </w:rPr>
        <w:t>. At the July 2025 meeting, the Board approved the following target Financial Performance Goals for the Company for the July 1, 2025 through December 31, 2025 performance period: Corporate Revenue of $991 million, Corporate Adjusted EBITDA of $147 million, Metal Cutting Revenue of $624 million, Infrastructure Revenue of $366 million, Metal Cutting Adjusted EBIT of $45 million and Infrastructure Adjusted EBIT of $39 million, which reflected the Company’s business plan for the first half of Fiscal 2026. The Board also approved a Corporate PWCPS Financial Performance Goal of 31.2% for the July 1, 2025 through June 30, 2026 performance period. At the January 2026 meeting, the Board established the following target Financial Performance Goals for the Company for the January 1, 2026 through June 30, 2026 performance period: Corporate Revenue of $1,172 million, Corporate Adjusted EBITDA of $225 million, Metal Cutting Revenue of $705 million, Infrastructure Revenue of $467 million, Metal Cutting Adjusted EBIT of $80 million, and Infrastructure Adjusted EBIT of $82 million. At the time it set these respective goals, the Board considered the targets to be challenging for the Company, but achievable if the financial and strategic plans of the Company were well executed. These Financial Performance Goals were then adopted by the Committee as the target Financial Performance Goals under the Fiscal 2026 AIP.</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47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16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98" descr=""/>
                    <pic:cNvPicPr>
                      <a:picLocks noChangeAspect="1" noChangeArrowheads="1"/>
                    </pic:cNvPicPr>
                  </pic:nvPicPr>
                  <pic:blipFill>
                    <a:blip r:embed="rId99"/>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2026 Financial Performance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tables show the financial performance achieved (as a percentage of target) and the amount of AIP awards paid to each of our NEOs.</w:t>
      </w:r>
    </w:p>
    <w:tbl>
      <w:tblPr>
        <w:tblW w:w="10569" w:type="dxa"/>
        <w:jc w:val="left"/>
        <w:tblInd w:w="0" w:type="dxa"/>
        <w:tblLayout w:type="fixed"/>
        <w:tblCellMar>
          <w:top w:w="0" w:type="dxa"/>
          <w:left w:w="0" w:type="dxa"/>
          <w:bottom w:w="0" w:type="dxa"/>
          <w:right w:w="0" w:type="dxa"/>
        </w:tblCellMar>
      </w:tblPr>
      <w:tblGrid>
        <w:gridCol w:w="1126"/>
        <w:gridCol w:w="226"/>
        <w:gridCol w:w="916"/>
        <w:gridCol w:w="301"/>
        <w:gridCol w:w="196"/>
        <w:gridCol w:w="421"/>
        <w:gridCol w:w="256"/>
        <w:gridCol w:w="616"/>
        <w:gridCol w:w="301"/>
        <w:gridCol w:w="196"/>
        <w:gridCol w:w="421"/>
        <w:gridCol w:w="256"/>
        <w:gridCol w:w="196"/>
        <w:gridCol w:w="511"/>
        <w:gridCol w:w="256"/>
        <w:gridCol w:w="616"/>
        <w:gridCol w:w="301"/>
        <w:gridCol w:w="196"/>
        <w:gridCol w:w="826"/>
        <w:gridCol w:w="256"/>
        <w:gridCol w:w="676"/>
        <w:gridCol w:w="301"/>
        <w:gridCol w:w="856"/>
        <w:gridCol w:w="34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15010" cy="175260"/>
                      <wp:effectExtent l="0" t="0" r="0" b="0"/>
                      <wp:wrapNone/>
                      <wp:docPr id="170" name="Frame7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260"/>
                      <wp:effectExtent l="0" t="0" r="0" b="0"/>
                      <wp:wrapNone/>
                      <wp:docPr id="171" name="Frame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81660" cy="175260"/>
                      <wp:effectExtent l="0" t="0" r="0" b="0"/>
                      <wp:wrapNone/>
                      <wp:docPr id="172" name="Frame7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91135" cy="175260"/>
                      <wp:effectExtent l="0" t="0" r="0" b="0"/>
                      <wp:wrapNone/>
                      <wp:docPr id="173" name="Frame7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4460" cy="175260"/>
                      <wp:effectExtent l="0" t="0" r="0" b="0"/>
                      <wp:wrapNone/>
                      <wp:docPr id="174"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67335" cy="175260"/>
                      <wp:effectExtent l="0" t="0" r="0" b="0"/>
                      <wp:wrapNone/>
                      <wp:docPr id="175" name="Frame7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62560" cy="175260"/>
                      <wp:effectExtent l="0" t="0" r="0" b="0"/>
                      <wp:wrapNone/>
                      <wp:docPr id="176" name="Frame7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91160" cy="175260"/>
                      <wp:effectExtent l="0" t="0" r="0" b="0"/>
                      <wp:wrapNone/>
                      <wp:docPr id="177" name="Frame7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91135" cy="175260"/>
                      <wp:effectExtent l="0" t="0" r="0" b="0"/>
                      <wp:wrapNone/>
                      <wp:docPr id="178" name="Frame8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179"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67335" cy="175260"/>
                      <wp:effectExtent l="0" t="0" r="0" b="0"/>
                      <wp:wrapNone/>
                      <wp:docPr id="180" name="Frame8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2560" cy="175260"/>
                      <wp:effectExtent l="0" t="0" r="0" b="0"/>
                      <wp:wrapNone/>
                      <wp:docPr id="181" name="Frame8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4460" cy="175260"/>
                      <wp:effectExtent l="0" t="0" r="0" b="0"/>
                      <wp:wrapNone/>
                      <wp:docPr id="182"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24485" cy="175260"/>
                      <wp:effectExtent l="0" t="0" r="0" b="0"/>
                      <wp:wrapNone/>
                      <wp:docPr id="183" name="Frame8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2560" cy="175260"/>
                      <wp:effectExtent l="0" t="0" r="0" b="0"/>
                      <wp:wrapNone/>
                      <wp:docPr id="184" name="Frame8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91160" cy="175260"/>
                      <wp:effectExtent l="0" t="0" r="0" b="0"/>
                      <wp:wrapNone/>
                      <wp:docPr id="185" name="Frame8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91135" cy="175260"/>
                      <wp:effectExtent l="0" t="0" r="0" b="0"/>
                      <wp:wrapNone/>
                      <wp:docPr id="186" name="Frame8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4460" cy="175260"/>
                      <wp:effectExtent l="0" t="0" r="0" b="0"/>
                      <wp:wrapNone/>
                      <wp:docPr id="187"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24510" cy="175260"/>
                      <wp:effectExtent l="0" t="0" r="0" b="0"/>
                      <wp:wrapNone/>
                      <wp:docPr id="188" name="Frame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62560" cy="175260"/>
                      <wp:effectExtent l="0" t="0" r="0" b="0"/>
                      <wp:wrapNone/>
                      <wp:docPr id="189" name="Frame9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29260" cy="175260"/>
                      <wp:effectExtent l="0" t="0" r="0" b="0"/>
                      <wp:wrapNone/>
                      <wp:docPr id="190"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1135" cy="175260"/>
                      <wp:effectExtent l="0" t="0" r="0" b="0"/>
                      <wp:wrapNone/>
                      <wp:docPr id="191" name="Frame9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43560" cy="175260"/>
                      <wp:effectExtent l="0" t="0" r="0" b="0"/>
                      <wp:wrapNone/>
                      <wp:docPr id="192" name="Frame9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193"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69" w:type="dxa"/>
            <w:gridSpan w:val="2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First Half FY 2026 AIP Financial Performance Measures Achievements</w:t>
            </w:r>
          </w:p>
        </w:tc>
      </w:tr>
      <w:tr>
        <w:trPr/>
        <w:tc>
          <w:tcPr>
            <w:tcW w:w="112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  ​</w:t>
            </w:r>
          </w:p>
        </w:tc>
        <w:tc>
          <w:tcPr>
            <w:tcW w:w="9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Weighting</w:t>
              <w:br/>
              <w:t>(1)</w:t>
            </w:r>
          </w:p>
        </w:tc>
        <w:tc>
          <w:tcPr>
            <w:tcW w:w="301" w:type="dxa"/>
            <w:tcBorders/>
            <w:shd w:fill="E5E5E5" w:val="clear"/>
            <w:vAlign w:val="center"/>
          </w:tcPr>
          <w:p>
            <w:pPr>
              <w:pStyle w:val="TableContents"/>
              <w:bidi w:val="0"/>
              <w:spacing w:before="0" w:after="0"/>
              <w:ind w:left="0" w:right="0" w:hanging="0"/>
              <w:jc w:val="left"/>
              <w:rPr/>
            </w:pPr>
            <w:r>
              <w:rPr/>
              <w:t>  ​</w:t>
            </w:r>
          </w:p>
        </w:tc>
        <w:tc>
          <w:tcPr>
            <w:tcW w:w="1489" w:type="dxa"/>
            <w:gridSpan w:val="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Threshold</w:t>
            </w:r>
          </w:p>
        </w:tc>
        <w:tc>
          <w:tcPr>
            <w:tcW w:w="301" w:type="dxa"/>
            <w:tcBorders/>
            <w:shd w:fill="E5E5E5" w:val="clear"/>
            <w:vAlign w:val="center"/>
          </w:tcPr>
          <w:p>
            <w:pPr>
              <w:pStyle w:val="TableContents"/>
              <w:bidi w:val="0"/>
              <w:spacing w:before="0" w:after="0"/>
              <w:ind w:left="0" w:right="0" w:hanging="0"/>
              <w:jc w:val="left"/>
              <w:rPr/>
            </w:pPr>
            <w:r>
              <w:rPr/>
              <w:t>  ​</w:t>
            </w:r>
          </w:p>
        </w:tc>
        <w:tc>
          <w:tcPr>
            <w:tcW w:w="873" w:type="dxa"/>
            <w:gridSpan w:val="3"/>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1579" w:type="dxa"/>
            <w:gridSpan w:val="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Maximum</w:t>
            </w:r>
          </w:p>
        </w:tc>
        <w:tc>
          <w:tcPr>
            <w:tcW w:w="301" w:type="dxa"/>
            <w:tcBorders/>
            <w:shd w:fill="E5E5E5" w:val="clear"/>
            <w:vAlign w:val="center"/>
          </w:tcPr>
          <w:p>
            <w:pPr>
              <w:pStyle w:val="TableContents"/>
              <w:bidi w:val="0"/>
              <w:spacing w:before="0" w:after="0"/>
              <w:ind w:left="0" w:right="0" w:hanging="0"/>
              <w:jc w:val="left"/>
              <w:rPr/>
            </w:pPr>
            <w:r>
              <w:rPr/>
              <w:t>  ​</w:t>
            </w:r>
          </w:p>
        </w:tc>
        <w:tc>
          <w:tcPr>
            <w:tcW w:w="1954" w:type="dxa"/>
            <w:gridSpan w:val="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Actual</w:t>
            </w:r>
          </w:p>
        </w:tc>
        <w:tc>
          <w:tcPr>
            <w:tcW w:w="301" w:type="dxa"/>
            <w:tcBorders/>
            <w:shd w:fill="E5E5E5" w:val="clear"/>
            <w:vAlign w:val="center"/>
          </w:tcPr>
          <w:p>
            <w:pPr>
              <w:pStyle w:val="TableContents"/>
              <w:bidi w:val="0"/>
              <w:spacing w:before="0" w:after="0"/>
              <w:ind w:left="0" w:right="0" w:hanging="0"/>
              <w:jc w:val="left"/>
              <w:rPr/>
            </w:pPr>
            <w:r>
              <w:rPr/>
              <w:t>  ​</w:t>
            </w:r>
          </w:p>
        </w:tc>
        <w:tc>
          <w:tcPr>
            <w:tcW w:w="85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r>
      <w:tr>
        <w:trPr/>
        <w:tc>
          <w:tcPr>
            <w:tcW w:w="112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421"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421"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67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8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Payout %</w:t>
            </w:r>
          </w:p>
        </w:tc>
        <w:tc>
          <w:tcPr>
            <w:tcW w:w="346" w:type="dxa"/>
            <w:tcBorders/>
            <w:shd w:fill="E5E5E5" w:val="clear"/>
            <w:vAlign w:val="center"/>
          </w:tcPr>
          <w:p>
            <w:pPr>
              <w:pStyle w:val="TableContents"/>
              <w:bidi w:val="0"/>
              <w:spacing w:before="0" w:after="0"/>
              <w:ind w:left="0" w:right="0" w:hanging="0"/>
              <w:jc w:val="left"/>
              <w:rPr/>
            </w:pPr>
            <w:r>
              <w:rPr/>
              <w:t>​</w:t>
            </w:r>
          </w:p>
        </w:tc>
      </w:tr>
      <w:tr>
        <w:trPr/>
        <w:tc>
          <w:tcPr>
            <w:tcW w:w="112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421"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421"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56" w:type="dxa"/>
            <w:tcBorders/>
            <w:shd w:fill="E5E5E5" w:val="clear"/>
            <w:vAlign w:val="center"/>
          </w:tcPr>
          <w:p>
            <w:pPr>
              <w:pStyle w:val="TableContents"/>
              <w:bidi w:val="0"/>
              <w:spacing w:before="0" w:after="0"/>
              <w:ind w:left="0" w:right="0" w:hanging="0"/>
              <w:jc w:val="left"/>
              <w:rPr/>
            </w:pPr>
            <w:r>
              <w:rPr/>
              <w:t>​</w:t>
            </w:r>
          </w:p>
        </w:tc>
        <w:tc>
          <w:tcPr>
            <w:tcW w:w="6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01" w:type="dxa"/>
            <w:tcBorders/>
            <w:shd w:fill="E5E5E5" w:val="clear"/>
            <w:vAlign w:val="center"/>
          </w:tcPr>
          <w:p>
            <w:pPr>
              <w:pStyle w:val="TableContents"/>
              <w:bidi w:val="0"/>
              <w:spacing w:before="0" w:after="0"/>
              <w:ind w:left="0" w:right="0" w:hanging="0"/>
              <w:jc w:val="left"/>
              <w:rPr/>
            </w:pPr>
            <w:r>
              <w:rPr/>
              <w:t>​</w:t>
            </w:r>
          </w:p>
        </w:tc>
        <w:tc>
          <w:tcPr>
            <w:tcW w:w="8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of</w:t>
            </w:r>
          </w:p>
        </w:tc>
        <w:tc>
          <w:tcPr>
            <w:tcW w:w="346" w:type="dxa"/>
            <w:tcBorders/>
            <w:shd w:fill="E5E5E5" w:val="clear"/>
            <w:vAlign w:val="center"/>
          </w:tcPr>
          <w:p>
            <w:pPr>
              <w:pStyle w:val="TableContents"/>
              <w:bidi w:val="0"/>
              <w:spacing w:before="0" w:after="0"/>
              <w:ind w:left="0" w:right="0" w:hanging="0"/>
              <w:jc w:val="left"/>
              <w:rPr/>
            </w:pPr>
            <w:r>
              <w:rPr/>
              <w:t>​</w:t>
            </w:r>
          </w:p>
        </w:tc>
      </w:tr>
      <w:tr>
        <w:trPr/>
        <w:tc>
          <w:tcPr>
            <w:tcW w:w="11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Kennametal Financial Performance Metrics</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w:t>
            </w:r>
          </w:p>
        </w:tc>
        <w:tc>
          <w:tcPr>
            <w:tcW w:w="617"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 %</w:t>
            </w:r>
          </w:p>
        </w:tc>
        <w:tc>
          <w:tcPr>
            <w:tcW w:w="25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17"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 %</w:t>
            </w:r>
          </w:p>
        </w:tc>
        <w:tc>
          <w:tcPr>
            <w:tcW w:w="25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707"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 %</w:t>
            </w:r>
          </w:p>
        </w:tc>
        <w:tc>
          <w:tcPr>
            <w:tcW w:w="25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1022"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 %</w:t>
            </w:r>
          </w:p>
        </w:tc>
        <w:tc>
          <w:tcPr>
            <w:tcW w:w="25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Target(2)</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Corporate Revenue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912</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991</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1,070</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1,032.511</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Corporate Adjusted EBITDA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 &amp; 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167.180</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113.7</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Corporate PWCPS(3)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34.3</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31.2</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108.3</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Metal Cutting Revenue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574</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624</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674</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644.997</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103.4</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Metal Cutting Adjusted EBIT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55.884</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Infrastructure Revenue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366</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395</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387.514</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105.9</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174.2</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Infrastructure Adjusted EBIT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42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46.916</w:t>
            </w:r>
          </w:p>
        </w:tc>
        <w:tc>
          <w:tcPr>
            <w:tcW w:w="25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120.3</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bl>
    <w:p>
      <w:pPr>
        <w:pStyle w:val="TextBody"/>
        <w:bidi w:val="0"/>
        <w:spacing w:before="0" w:after="0"/>
        <w:ind w:left="0" w:right="0" w:hanging="0"/>
        <w:jc w:val="left"/>
        <w:rPr/>
      </w:pPr>
      <w:r>
        <w:rPr/>
        <w:t>​</w:t>
      </w:r>
    </w:p>
    <w:tbl>
      <w:tblPr>
        <w:tblW w:w="10569" w:type="dxa"/>
        <w:jc w:val="left"/>
        <w:tblInd w:w="0" w:type="dxa"/>
        <w:tblLayout w:type="fixed"/>
        <w:tblCellMar>
          <w:top w:w="0" w:type="dxa"/>
          <w:left w:w="0" w:type="dxa"/>
          <w:bottom w:w="0" w:type="dxa"/>
          <w:right w:w="0" w:type="dxa"/>
        </w:tblCellMar>
      </w:tblPr>
      <w:tblGrid>
        <w:gridCol w:w="1126"/>
        <w:gridCol w:w="226"/>
        <w:gridCol w:w="916"/>
        <w:gridCol w:w="301"/>
        <w:gridCol w:w="196"/>
        <w:gridCol w:w="511"/>
        <w:gridCol w:w="226"/>
        <w:gridCol w:w="616"/>
        <w:gridCol w:w="301"/>
        <w:gridCol w:w="196"/>
        <w:gridCol w:w="511"/>
        <w:gridCol w:w="226"/>
        <w:gridCol w:w="196"/>
        <w:gridCol w:w="511"/>
        <w:gridCol w:w="226"/>
        <w:gridCol w:w="616"/>
        <w:gridCol w:w="301"/>
        <w:gridCol w:w="196"/>
        <w:gridCol w:w="826"/>
        <w:gridCol w:w="226"/>
        <w:gridCol w:w="616"/>
        <w:gridCol w:w="301"/>
        <w:gridCol w:w="856"/>
        <w:gridCol w:w="34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715010" cy="175260"/>
                      <wp:effectExtent l="0" t="0" r="0" b="0"/>
                      <wp:wrapNone/>
                      <wp:docPr id="194" name="Frame9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3510" cy="175260"/>
                      <wp:effectExtent l="0" t="0" r="0" b="0"/>
                      <wp:wrapNone/>
                      <wp:docPr id="195"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81660" cy="175260"/>
                      <wp:effectExtent l="0" t="0" r="0" b="0"/>
                      <wp:wrapNone/>
                      <wp:docPr id="196" name="Frame9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1135" cy="175260"/>
                      <wp:effectExtent l="0" t="0" r="0" b="0"/>
                      <wp:wrapNone/>
                      <wp:docPr id="197" name="Frame9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460" cy="175260"/>
                      <wp:effectExtent l="0" t="0" r="0" b="0"/>
                      <wp:wrapNone/>
                      <wp:docPr id="198" name="Frame1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24485" cy="175260"/>
                      <wp:effectExtent l="0" t="0" r="0" b="0"/>
                      <wp:wrapNone/>
                      <wp:docPr id="199" name="Frame10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3510" cy="175260"/>
                      <wp:effectExtent l="0" t="0" r="0" b="0"/>
                      <wp:wrapNone/>
                      <wp:docPr id="200" name="Frame1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91160" cy="175260"/>
                      <wp:effectExtent l="0" t="0" r="0" b="0"/>
                      <wp:wrapNone/>
                      <wp:docPr id="201" name="Frame10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91135" cy="175260"/>
                      <wp:effectExtent l="0" t="0" r="0" b="0"/>
                      <wp:wrapNone/>
                      <wp:docPr id="202" name="Frame10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03"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24485" cy="175260"/>
                      <wp:effectExtent l="0" t="0" r="0" b="0"/>
                      <wp:wrapNone/>
                      <wp:docPr id="204" name="Frame1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3510" cy="175260"/>
                      <wp:effectExtent l="0" t="0" r="0" b="0"/>
                      <wp:wrapNone/>
                      <wp:docPr id="205" name="Frame1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4460" cy="175260"/>
                      <wp:effectExtent l="0" t="0" r="0" b="0"/>
                      <wp:wrapNone/>
                      <wp:docPr id="206" name="Frame1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24485" cy="175260"/>
                      <wp:effectExtent l="0" t="0" r="0" b="0"/>
                      <wp:wrapNone/>
                      <wp:docPr id="207" name="Frame10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43510" cy="175260"/>
                      <wp:effectExtent l="0" t="0" r="0" b="0"/>
                      <wp:wrapNone/>
                      <wp:docPr id="208" name="Frame1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91160" cy="175260"/>
                      <wp:effectExtent l="0" t="0" r="0" b="0"/>
                      <wp:wrapNone/>
                      <wp:docPr id="209" name="Frame11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91135" cy="175260"/>
                      <wp:effectExtent l="0" t="0" r="0" b="0"/>
                      <wp:wrapNone/>
                      <wp:docPr id="210" name="Frame11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11"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24510" cy="175260"/>
                      <wp:effectExtent l="0" t="0" r="0" b="0"/>
                      <wp:wrapNone/>
                      <wp:docPr id="212" name="Frame1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43510" cy="175260"/>
                      <wp:effectExtent l="0" t="0" r="0" b="0"/>
                      <wp:wrapNone/>
                      <wp:docPr id="213" name="Frame1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91160" cy="175260"/>
                      <wp:effectExtent l="0" t="0" r="0" b="0"/>
                      <wp:wrapNone/>
                      <wp:docPr id="214" name="Frame11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91135" cy="175260"/>
                      <wp:effectExtent l="0" t="0" r="0" b="0"/>
                      <wp:wrapNone/>
                      <wp:docPr id="215" name="Frame11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43560" cy="175260"/>
                      <wp:effectExtent l="0" t="0" r="0" b="0"/>
                      <wp:wrapNone/>
                      <wp:docPr id="216" name="Frame11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17"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69" w:type="dxa"/>
            <w:gridSpan w:val="2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Second Half FY 2026 AIP Financial Performance Measures Achievements</w:t>
            </w:r>
          </w:p>
        </w:tc>
      </w:tr>
      <w:tr>
        <w:trPr/>
        <w:tc>
          <w:tcPr>
            <w:tcW w:w="112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  ​</w:t>
            </w:r>
          </w:p>
        </w:tc>
        <w:tc>
          <w:tcPr>
            <w:tcW w:w="9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Weighting </w:t>
              <w:br/>
              <w:t>(1)</w:t>
            </w:r>
          </w:p>
        </w:tc>
        <w:tc>
          <w:tcPr>
            <w:tcW w:w="301" w:type="dxa"/>
            <w:tcBorders/>
            <w:shd w:fill="E5E5E5" w:val="clear"/>
            <w:vAlign w:val="center"/>
          </w:tcPr>
          <w:p>
            <w:pPr>
              <w:pStyle w:val="TableContents"/>
              <w:bidi w:val="0"/>
              <w:spacing w:before="0" w:after="0"/>
              <w:ind w:left="0" w:right="0" w:hanging="0"/>
              <w:jc w:val="left"/>
              <w:rPr/>
            </w:pPr>
            <w:r>
              <w:rPr/>
              <w:t>  ​</w:t>
            </w:r>
          </w:p>
        </w:tc>
        <w:tc>
          <w:tcPr>
            <w:tcW w:w="1549" w:type="dxa"/>
            <w:gridSpan w:val="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Threshold</w:t>
            </w:r>
          </w:p>
        </w:tc>
        <w:tc>
          <w:tcPr>
            <w:tcW w:w="301" w:type="dxa"/>
            <w:tcBorders/>
            <w:shd w:fill="E5E5E5" w:val="clear"/>
            <w:vAlign w:val="center"/>
          </w:tcPr>
          <w:p>
            <w:pPr>
              <w:pStyle w:val="TableContents"/>
              <w:bidi w:val="0"/>
              <w:spacing w:before="0" w:after="0"/>
              <w:ind w:left="0" w:right="0" w:hanging="0"/>
              <w:jc w:val="left"/>
              <w:rPr/>
            </w:pPr>
            <w:r>
              <w:rPr/>
              <w:t>  ​</w:t>
            </w:r>
          </w:p>
        </w:tc>
        <w:tc>
          <w:tcPr>
            <w:tcW w:w="933" w:type="dxa"/>
            <w:gridSpan w:val="3"/>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1549" w:type="dxa"/>
            <w:gridSpan w:val="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Maximum</w:t>
            </w:r>
          </w:p>
        </w:tc>
        <w:tc>
          <w:tcPr>
            <w:tcW w:w="301" w:type="dxa"/>
            <w:tcBorders/>
            <w:shd w:fill="E5E5E5" w:val="clear"/>
            <w:vAlign w:val="center"/>
          </w:tcPr>
          <w:p>
            <w:pPr>
              <w:pStyle w:val="TableContents"/>
              <w:bidi w:val="0"/>
              <w:spacing w:before="0" w:after="0"/>
              <w:ind w:left="0" w:right="0" w:hanging="0"/>
              <w:jc w:val="left"/>
              <w:rPr/>
            </w:pPr>
            <w:r>
              <w:rPr/>
              <w:t>  ​</w:t>
            </w:r>
          </w:p>
        </w:tc>
        <w:tc>
          <w:tcPr>
            <w:tcW w:w="1864" w:type="dxa"/>
            <w:gridSpan w:val="4"/>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Actual</w:t>
            </w:r>
          </w:p>
        </w:tc>
        <w:tc>
          <w:tcPr>
            <w:tcW w:w="301" w:type="dxa"/>
            <w:tcBorders/>
            <w:shd w:fill="E5E5E5" w:val="clear"/>
            <w:vAlign w:val="center"/>
          </w:tcPr>
          <w:p>
            <w:pPr>
              <w:pStyle w:val="TableContents"/>
              <w:bidi w:val="0"/>
              <w:spacing w:before="0" w:after="0"/>
              <w:ind w:left="0" w:right="0" w:hanging="0"/>
              <w:jc w:val="left"/>
              <w:rPr/>
            </w:pPr>
            <w:r>
              <w:rPr/>
              <w:t>  ​</w:t>
            </w:r>
          </w:p>
        </w:tc>
        <w:tc>
          <w:tcPr>
            <w:tcW w:w="85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r>
      <w:tr>
        <w:trPr/>
        <w:tc>
          <w:tcPr>
            <w:tcW w:w="112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8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Payout %</w:t>
            </w:r>
          </w:p>
        </w:tc>
        <w:tc>
          <w:tcPr>
            <w:tcW w:w="346" w:type="dxa"/>
            <w:tcBorders/>
            <w:shd w:fill="E5E5E5" w:val="clear"/>
            <w:vAlign w:val="center"/>
          </w:tcPr>
          <w:p>
            <w:pPr>
              <w:pStyle w:val="TableContents"/>
              <w:bidi w:val="0"/>
              <w:spacing w:before="0" w:after="0"/>
              <w:ind w:left="0" w:right="0" w:hanging="0"/>
              <w:jc w:val="left"/>
              <w:rPr/>
            </w:pPr>
            <w:r>
              <w:rPr/>
              <w:t>​</w:t>
            </w:r>
          </w:p>
        </w:tc>
      </w:tr>
      <w:tr>
        <w:trPr/>
        <w:tc>
          <w:tcPr>
            <w:tcW w:w="112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16" w:type="dxa"/>
            <w:tcBorders/>
            <w:shd w:fill="E5E5E5" w:val="clear"/>
            <w:vAlign w:val="center"/>
          </w:tcPr>
          <w:p>
            <w:pPr>
              <w:pStyle w:val="TableContents"/>
              <w:bidi w:val="0"/>
              <w:spacing w:before="0" w:after="0"/>
              <w:ind w:left="0" w:right="0" w:hanging="0"/>
              <w:jc w:val="center"/>
              <w:rPr/>
            </w:pPr>
            <w:r>
              <w:rPr/>
              <w:t>​</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51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01" w:type="dxa"/>
            <w:tcBorders/>
            <w:shd w:fill="E5E5E5" w:val="clear"/>
            <w:vAlign w:val="center"/>
          </w:tcPr>
          <w:p>
            <w:pPr>
              <w:pStyle w:val="TableContents"/>
              <w:bidi w:val="0"/>
              <w:spacing w:before="0" w:after="0"/>
              <w:ind w:left="0" w:right="0" w:hanging="0"/>
              <w:jc w:val="left"/>
              <w:rPr/>
            </w:pPr>
            <w:r>
              <w:rPr/>
              <w:t>​</w:t>
            </w:r>
          </w:p>
        </w:tc>
        <w:tc>
          <w:tcPr>
            <w:tcW w:w="19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01" w:type="dxa"/>
            <w:tcBorders/>
            <w:shd w:fill="E5E5E5" w:val="clear"/>
            <w:vAlign w:val="center"/>
          </w:tcPr>
          <w:p>
            <w:pPr>
              <w:pStyle w:val="TableContents"/>
              <w:bidi w:val="0"/>
              <w:spacing w:before="0" w:after="0"/>
              <w:ind w:left="0" w:right="0" w:hanging="0"/>
              <w:jc w:val="left"/>
              <w:rPr/>
            </w:pPr>
            <w:r>
              <w:rPr/>
              <w:t>​</w:t>
            </w:r>
          </w:p>
        </w:tc>
        <w:tc>
          <w:tcPr>
            <w:tcW w:w="85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of</w:t>
            </w:r>
          </w:p>
        </w:tc>
        <w:tc>
          <w:tcPr>
            <w:tcW w:w="346" w:type="dxa"/>
            <w:tcBorders/>
            <w:shd w:fill="E5E5E5" w:val="clear"/>
            <w:vAlign w:val="center"/>
          </w:tcPr>
          <w:p>
            <w:pPr>
              <w:pStyle w:val="TableContents"/>
              <w:bidi w:val="0"/>
              <w:spacing w:before="0" w:after="0"/>
              <w:ind w:left="0" w:right="0" w:hanging="0"/>
              <w:jc w:val="left"/>
              <w:rPr/>
            </w:pPr>
            <w:r>
              <w:rPr/>
              <w:t>​</w:t>
            </w:r>
          </w:p>
        </w:tc>
      </w:tr>
      <w:tr>
        <w:trPr/>
        <w:tc>
          <w:tcPr>
            <w:tcW w:w="11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Kennametal Financial Performance Metrics</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w:t>
            </w:r>
          </w:p>
        </w:tc>
        <w:tc>
          <w:tcPr>
            <w:tcW w:w="707"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707"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707"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1022" w:type="dxa"/>
            <w:gridSpan w:val="2"/>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01"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Corporate Revenue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1,172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1,328.908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113.4</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Corporate Adjusted EBITDA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 and 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469.879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208.8</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Metal Cutting Revenue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756.319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107.3</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191.6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Metal Cutting Adjusted EBIT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149.151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186.4</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Infrastructure Revenue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572.589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122.6</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r>
        <w:trPr/>
        <w:tc>
          <w:tcPr>
            <w:tcW w:w="11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Infrastructure Adjusted EBIT (millions)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254.325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310.2</w:t>
            </w:r>
          </w:p>
        </w:tc>
        <w:tc>
          <w:tcPr>
            <w:tcW w:w="3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85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each six-month performance period, the weighting for Corporate Adjusted EBITDA is 25% for Corporate participants and 12.5% for Segment participants.</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PWCPS performance measure, actual achievement that is lower than the pre-established target is favorable and results in a higher payout above target for participants.</w:t>
            </w:r>
          </w:p>
        </w:tc>
      </w:tr>
    </w:tbl>
    <w:tbl>
      <w:tblPr>
        <w:tblW w:w="7217" w:type="dxa"/>
        <w:jc w:val="left"/>
        <w:tblInd w:w="0" w:type="dxa"/>
        <w:tblLayout w:type="fixed"/>
        <w:tblCellMar>
          <w:top w:w="0" w:type="dxa"/>
          <w:left w:w="0" w:type="dxa"/>
          <w:bottom w:w="0" w:type="dxa"/>
          <w:right w:w="0" w:type="dxa"/>
        </w:tblCellMar>
      </w:tblPr>
      <w:tblGrid>
        <w:gridCol w:w="346"/>
        <w:gridCol w:w="687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68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Corporate PWCPS is an annual goal with a twelve-month performance period.</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2026 nonfinancial performance comprising 10% weighting in the AIP:</w:t>
      </w:r>
    </w:p>
    <w:tbl>
      <w:tblPr>
        <w:tblW w:w="10205" w:type="dxa"/>
        <w:jc w:val="left"/>
        <w:tblInd w:w="0" w:type="dxa"/>
        <w:tblLayout w:type="fixed"/>
        <w:tblCellMar>
          <w:top w:w="0" w:type="dxa"/>
          <w:left w:w="0" w:type="dxa"/>
          <w:bottom w:w="0" w:type="dxa"/>
          <w:right w:w="0" w:type="dxa"/>
        </w:tblCellMar>
      </w:tblPr>
      <w:tblGrid>
        <w:gridCol w:w="4316"/>
        <w:gridCol w:w="346"/>
        <w:gridCol w:w="916"/>
        <w:gridCol w:w="1549"/>
        <w:gridCol w:w="1141"/>
        <w:gridCol w:w="346"/>
        <w:gridCol w:w="872"/>
        <w:gridCol w:w="146"/>
        <w:gridCol w:w="573"/>
      </w:tblGrid>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5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Nonfinancial Performance Metrics</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91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Weighting</w:t>
            </w:r>
          </w:p>
        </w:tc>
        <w:tc>
          <w:tcPr>
            <w:tcW w:w="1549"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w:t>
            </w:r>
          </w:p>
        </w:tc>
        <w:tc>
          <w:tcPr>
            <w:tcW w:w="1141"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Actual </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Achievement</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872"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Payout </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 Target</w:t>
            </w:r>
          </w:p>
        </w:tc>
        <w:tc>
          <w:tcPr>
            <w:tcW w:w="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5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1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Average FSI risk identified per month across 36 manufacturing locations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2.5%</w:t>
            </w:r>
          </w:p>
        </w:tc>
        <w:tc>
          <w:tcPr>
            <w:tcW w:w="1549"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&gt;1.75</w:t>
            </w:r>
          </w:p>
        </w:tc>
        <w:tc>
          <w:tcPr>
            <w:tcW w:w="114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2.97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w:t>
            </w:r>
          </w:p>
        </w:tc>
        <w:tc>
          <w:tcPr>
            <w:tcW w:w="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5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1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CEO’s Individual Rating</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16" w:type="dxa"/>
            <w:vMerge w:val="restart"/>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7.5%</w:t>
            </w:r>
          </w:p>
        </w:tc>
        <w:tc>
          <w:tcPr>
            <w:tcW w:w="1549" w:type="dxa"/>
            <w:vMerge w:val="restart"/>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Rating of 3 on a 5 scale</w:t>
            </w:r>
          </w:p>
        </w:tc>
        <w:tc>
          <w:tcPr>
            <w:tcW w:w="114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106.7%</w:t>
            </w:r>
          </w:p>
        </w:tc>
        <w:tc>
          <w:tcPr>
            <w:tcW w:w="1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5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1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Other NEOs’ Individual Ratings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16" w:type="dxa"/>
            <w:vMerge w:val="continue"/>
            <w:tcBorders/>
            <w:vAlign w:val="center"/>
          </w:tcPr>
          <w:p>
            <w:pPr>
              <w:pStyle w:val="Normal"/>
              <w:bidi w:val="0"/>
              <w:jc w:val="left"/>
              <w:rPr/>
            </w:pPr>
            <w:r>
              <w:rPr/>
            </w:r>
          </w:p>
        </w:tc>
        <w:tc>
          <w:tcPr>
            <w:tcW w:w="1549" w:type="dxa"/>
            <w:vMerge w:val="continue"/>
            <w:tcBorders/>
            <w:vAlign w:val="center"/>
          </w:tcPr>
          <w:p>
            <w:pPr>
              <w:pStyle w:val="Normal"/>
              <w:bidi w:val="0"/>
              <w:jc w:val="left"/>
              <w:rPr/>
            </w:pPr>
            <w:r>
              <w:rPr/>
            </w:r>
          </w:p>
        </w:tc>
        <w:tc>
          <w:tcPr>
            <w:tcW w:w="1141" w:type="dxa"/>
            <w:tcBorders>
              <w:bottom w:val="single" w:sz="2" w:space="0" w:color="7F7F7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bottom w:val="single" w:sz="2" w:space="0" w:color="7F7F7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872"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tc>
        <w:tc>
          <w:tcPr>
            <w:tcW w:w="1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573"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w:t>
            </w:r>
          </w:p>
        </w:tc>
      </w:tr>
    </w:tbl>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48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1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9" descr=""/>
                    <pic:cNvPicPr>
                      <a:picLocks noChangeAspect="1" noChangeArrowheads="1"/>
                    </pic:cNvPicPr>
                  </pic:nvPicPr>
                  <pic:blipFill>
                    <a:blip r:embed="rId100"/>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Based on the actual performance in the tables above for the financial and nonfinancial metrics the fiscal year total payouts are shown in the table below.  </w:t>
      </w:r>
    </w:p>
    <w:tbl>
      <w:tblPr>
        <w:tblW w:w="9355" w:type="dxa"/>
        <w:jc w:val="left"/>
        <w:tblInd w:w="0" w:type="dxa"/>
        <w:tblLayout w:type="fixed"/>
        <w:tblCellMar>
          <w:top w:w="0" w:type="dxa"/>
          <w:left w:w="0" w:type="dxa"/>
          <w:bottom w:w="0" w:type="dxa"/>
          <w:right w:w="0" w:type="dxa"/>
        </w:tblCellMar>
      </w:tblPr>
      <w:tblGrid>
        <w:gridCol w:w="1576"/>
        <w:gridCol w:w="226"/>
        <w:gridCol w:w="1809"/>
        <w:gridCol w:w="382"/>
        <w:gridCol w:w="346"/>
        <w:gridCol w:w="226"/>
        <w:gridCol w:w="961"/>
        <w:gridCol w:w="226"/>
        <w:gridCol w:w="2146"/>
        <w:gridCol w:w="1066"/>
        <w:gridCol w:w="39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000760" cy="175260"/>
                      <wp:effectExtent l="0" t="0" r="0" b="0"/>
                      <wp:wrapNone/>
                      <wp:docPr id="219" name="Frame12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3510" cy="175260"/>
                      <wp:effectExtent l="0" t="0" r="0" b="0"/>
                      <wp:wrapNone/>
                      <wp:docPr id="220" name="Frame1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91285" cy="175260"/>
                      <wp:effectExtent l="0" t="0" r="0" b="0"/>
                      <wp:wrapNone/>
                      <wp:docPr id="221" name="Frame12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22"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43510" cy="175260"/>
                      <wp:effectExtent l="0" t="0" r="0" b="0"/>
                      <wp:wrapNone/>
                      <wp:docPr id="223" name="Frame1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10235" cy="175260"/>
                      <wp:effectExtent l="0" t="0" r="0" b="0"/>
                      <wp:wrapNone/>
                      <wp:docPr id="224" name="Frame12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43510" cy="175260"/>
                      <wp:effectExtent l="0" t="0" r="0" b="0"/>
                      <wp:wrapNone/>
                      <wp:docPr id="225" name="Frame1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76910" cy="175260"/>
                      <wp:effectExtent l="0" t="0" r="0" b="0"/>
                      <wp:wrapNone/>
                      <wp:docPr id="226" name="Frame12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48285" cy="175260"/>
                      <wp:effectExtent l="0" t="0" r="0" b="0"/>
                      <wp:wrapNone/>
                      <wp:docPr id="227" name="Frame12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809" w:type="dxa"/>
            <w:tcBorders/>
            <w:shd w:fill="E5E5E5" w:val="clear"/>
            <w:vAlign w:val="center"/>
          </w:tcPr>
          <w:p>
            <w:pPr>
              <w:pStyle w:val="TableContents"/>
              <w:bidi w:val="0"/>
              <w:spacing w:before="0" w:after="1"/>
              <w:ind w:left="0" w:right="0" w:hanging="0"/>
              <w:jc w:val="center"/>
              <w:rPr/>
            </w:pPr>
            <w:r>
              <w:rPr/>
              <w:t>​</w:t>
            </w:r>
          </w:p>
        </w:tc>
        <w:tc>
          <w:tcPr>
            <w:tcW w:w="5744" w:type="dxa"/>
            <w:gridSpan w:val="8"/>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Actual FY 2026 AIP Earned</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91" w:type="dxa"/>
            <w:gridSpan w:val="2"/>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46" w:type="dxa"/>
            <w:tcBorders/>
            <w:shd w:fill="E5E5E5" w:val="clear"/>
            <w:vAlign w:val="center"/>
          </w:tcPr>
          <w:p>
            <w:pPr>
              <w:pStyle w:val="TableContents"/>
              <w:bidi w:val="0"/>
              <w:spacing w:before="0" w:after="1"/>
              <w:ind w:left="0" w:right="0" w:hanging="0"/>
              <w:jc w:val="center"/>
              <w:rPr/>
            </w:pPr>
            <w:r>
              <w:rPr/>
              <w:t>​</w:t>
            </w:r>
          </w:p>
        </w:tc>
        <w:tc>
          <w:tcPr>
            <w:tcW w:w="1066" w:type="dxa"/>
            <w:tcBorders/>
            <w:shd w:fill="E5E5E5" w:val="clear"/>
            <w:vAlign w:val="center"/>
          </w:tcPr>
          <w:p>
            <w:pPr>
              <w:pStyle w:val="TableContents"/>
              <w:bidi w:val="0"/>
              <w:spacing w:before="0" w:after="1"/>
              <w:ind w:left="0" w:right="0" w:hanging="0"/>
              <w:jc w:val="center"/>
              <w:rPr/>
            </w:pPr>
            <w:r>
              <w:rPr/>
              <w:t>​</w:t>
            </w:r>
          </w:p>
        </w:tc>
        <w:tc>
          <w:tcPr>
            <w:tcW w:w="391" w:type="dxa"/>
            <w:tcBorders/>
            <w:shd w:fill="E5E5E5" w:val="clear"/>
            <w:vAlign w:val="center"/>
          </w:tcPr>
          <w:p>
            <w:pPr>
              <w:pStyle w:val="TableContents"/>
              <w:bidi w:val="0"/>
              <w:spacing w:before="0" w:after="1"/>
              <w:ind w:left="0" w:right="0" w:hanging="0"/>
              <w:jc w:val="left"/>
              <w:rPr/>
            </w:pPr>
            <w:r>
              <w:rPr/>
              <w:t> </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91" w:type="dxa"/>
            <w:gridSpan w:val="2"/>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46" w:type="dxa"/>
            <w:tcBorders/>
            <w:shd w:fill="E5E5E5" w:val="clear"/>
            <w:vAlign w:val="center"/>
          </w:tcPr>
          <w:p>
            <w:pPr>
              <w:pStyle w:val="TableContents"/>
              <w:bidi w:val="0"/>
              <w:spacing w:before="0" w:after="1"/>
              <w:ind w:left="0" w:right="0" w:hanging="0"/>
              <w:jc w:val="center"/>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 as a %</w:t>
            </w:r>
          </w:p>
        </w:tc>
        <w:tc>
          <w:tcPr>
            <w:tcW w:w="391" w:type="dxa"/>
            <w:tcBorders/>
            <w:shd w:fill="E5E5E5" w:val="clear"/>
            <w:vAlign w:val="center"/>
          </w:tcPr>
          <w:p>
            <w:pPr>
              <w:pStyle w:val="TableContents"/>
              <w:bidi w:val="0"/>
              <w:spacing w:before="0" w:after="1"/>
              <w:ind w:left="0" w:right="0" w:hanging="0"/>
              <w:jc w:val="left"/>
              <w:rPr/>
            </w:pPr>
            <w:r>
              <w:rPr/>
              <w:t> </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91" w:type="dxa"/>
            <w:gridSpan w:val="2"/>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46" w:type="dxa"/>
            <w:tcBorders/>
            <w:shd w:fill="E5E5E5" w:val="clear"/>
            <w:vAlign w:val="center"/>
          </w:tcPr>
          <w:p>
            <w:pPr>
              <w:pStyle w:val="TableContents"/>
              <w:bidi w:val="0"/>
              <w:spacing w:before="0" w:after="1"/>
              <w:ind w:left="0" w:right="0" w:hanging="0"/>
              <w:jc w:val="center"/>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of Fiscal </w:t>
            </w:r>
          </w:p>
        </w:tc>
        <w:tc>
          <w:tcPr>
            <w:tcW w:w="391" w:type="dxa"/>
            <w:tcBorders/>
            <w:shd w:fill="E5E5E5" w:val="clear"/>
            <w:vAlign w:val="center"/>
          </w:tcPr>
          <w:p>
            <w:pPr>
              <w:pStyle w:val="TableContents"/>
              <w:bidi w:val="0"/>
              <w:spacing w:before="0" w:after="1"/>
              <w:ind w:left="0" w:right="0" w:hanging="0"/>
              <w:jc w:val="left"/>
              <w:rPr/>
            </w:pPr>
            <w:r>
              <w:rPr/>
              <w:t> </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9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FY 2026 AIP Opportunities</w:t>
            </w:r>
          </w:p>
        </w:tc>
        <w:tc>
          <w:tcPr>
            <w:tcW w:w="34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226" w:type="dxa"/>
            <w:tcBorders/>
            <w:shd w:fill="E5E5E5" w:val="clear"/>
            <w:vAlign w:val="center"/>
          </w:tcPr>
          <w:p>
            <w:pPr>
              <w:pStyle w:val="TableContents"/>
              <w:bidi w:val="0"/>
              <w:spacing w:before="0" w:after="1"/>
              <w:ind w:left="0" w:right="0" w:hanging="0"/>
              <w:jc w:val="left"/>
              <w:rPr/>
            </w:pPr>
            <w:r>
              <w:rPr/>
              <w:t>​</w:t>
            </w:r>
          </w:p>
        </w:tc>
        <w:tc>
          <w:tcPr>
            <w:tcW w:w="214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 as a % of AIP Target</w:t>
            </w:r>
          </w:p>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Year End</w:t>
            </w:r>
          </w:p>
        </w:tc>
        <w:tc>
          <w:tcPr>
            <w:tcW w:w="391" w:type="dxa"/>
            <w:tcBorders/>
            <w:shd w:fill="E5E5E5" w:val="clear"/>
            <w:vAlign w:val="center"/>
          </w:tcPr>
          <w:p>
            <w:pPr>
              <w:pStyle w:val="TableContents"/>
              <w:bidi w:val="0"/>
              <w:spacing w:before="0" w:after="1"/>
              <w:ind w:left="0" w:right="0" w:hanging="0"/>
              <w:jc w:val="left"/>
              <w:rPr/>
            </w:pPr>
            <w:r>
              <w:rPr/>
              <w:t> </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9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a % of Base Salary</w:t>
            </w:r>
          </w:p>
        </w:tc>
        <w:tc>
          <w:tcPr>
            <w:tcW w:w="346"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46" w:type="dxa"/>
            <w:tcBorders/>
            <w:shd w:fill="E5E5E5" w:val="clear"/>
            <w:vAlign w:val="center"/>
          </w:tcPr>
          <w:p>
            <w:pPr>
              <w:pStyle w:val="TableContents"/>
              <w:bidi w:val="0"/>
              <w:spacing w:before="0" w:after="1"/>
              <w:ind w:left="0" w:right="0" w:hanging="0"/>
              <w:jc w:val="center"/>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Base Salary</w:t>
            </w:r>
          </w:p>
        </w:tc>
        <w:tc>
          <w:tcPr>
            <w:tcW w:w="391" w:type="dxa"/>
            <w:tcBorders/>
            <w:shd w:fill="E5E5E5" w:val="clear"/>
            <w:vAlign w:val="center"/>
          </w:tcPr>
          <w:p>
            <w:pPr>
              <w:pStyle w:val="TableContents"/>
              <w:bidi w:val="0"/>
              <w:spacing w:before="0" w:after="1"/>
              <w:ind w:left="0" w:right="0" w:hanging="0"/>
              <w:jc w:val="left"/>
              <w:rPr/>
            </w:pPr>
            <w:r>
              <w:rPr/>
              <w:t>​</w:t>
            </w:r>
          </w:p>
        </w:tc>
      </w:tr>
      <w:tr>
        <w:trPr/>
        <w:tc>
          <w:tcPr>
            <w:tcW w:w="157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w:t>
            </w:r>
          </w:p>
        </w:tc>
        <w:tc>
          <w:tcPr>
            <w:tcW w:w="22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w:t>
            </w:r>
          </w:p>
        </w:tc>
        <w:tc>
          <w:tcPr>
            <w:tcW w:w="2191" w:type="dxa"/>
            <w:gridSpan w:val="2"/>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Target</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w:t>
            </w:r>
          </w:p>
        </w:tc>
        <w:tc>
          <w:tcPr>
            <w:tcW w:w="22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22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w:t>
            </w:r>
          </w:p>
        </w:tc>
        <w:tc>
          <w:tcPr>
            <w:tcW w:w="214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pPr>
            <w:r>
              <w:rPr/>
              <w:t>​</w:t>
            </w:r>
          </w:p>
        </w:tc>
        <w:tc>
          <w:tcPr>
            <w:tcW w:w="106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91"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Sanjay Chowbey</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1,511,496</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146.0%</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160.6</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Patrick Watson</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590,073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145.5%</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109.1</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Dave Bersaglini</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571,932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143.1%</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107.3</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Faisal Hamadi</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482,425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147.7%</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110.7</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Michelle Keating</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392,837</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145.5%</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87.3</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91" w:type="dxa"/>
            <w:gridSpan w:val="2"/>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4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157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91" w:type="dxa"/>
            <w:gridSpan w:val="2"/>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46" w:type="dxa"/>
            <w:tcBorders/>
            <w:vAlign w:val="center"/>
          </w:tcPr>
          <w:p>
            <w:pPr>
              <w:pStyle w:val="TableContents"/>
              <w:bidi w:val="0"/>
              <w:spacing w:before="0" w:after="1"/>
              <w:ind w:left="0" w:right="0" w:hanging="0"/>
              <w:jc w:val="right"/>
              <w:rPr/>
            </w:pPr>
            <w:r>
              <w:rPr/>
              <w:t>​</w:t>
            </w:r>
          </w:p>
        </w:tc>
        <w:tc>
          <w:tcPr>
            <w:tcW w:w="106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120"/>
        <w:ind w:left="720" w:right="0" w:hanging="0"/>
        <w:jc w:val="left"/>
        <w:rPr>
          <w:rFonts w:ascii="Arial;Helvetica;sans-serif" w:hAnsi="Arial;Helvetica;sans-serif"/>
          <w:b/>
          <w:i/>
          <w:sz w:val="20"/>
        </w:rPr>
      </w:pPr>
      <w:r>
        <w:rPr>
          <w:rFonts w:ascii="Arial;Helvetica;sans-serif" w:hAnsi="Arial;Helvetica;sans-serif"/>
          <w:b/>
          <w:i/>
          <w:sz w:val="20"/>
        </w:rPr>
        <w:t>Long-Term Incentives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Overview</w:t>
      </w:r>
      <w:r>
        <w:rPr>
          <w:rFonts w:ascii="Arial;Helvetica;sans-serif" w:hAnsi="Arial;Helvetica;sans-serif"/>
          <w:sz w:val="20"/>
        </w:rPr>
        <w:t>. Kennametal’s long-term incentives are designed to focus our employees on sustainable, long-term performance. We use these incentives because we believe they promote an ownership culture, align the interests of our employees and shareowners, and foster the long-term perspective necessary to increase shareowner value. They also aid in retention and help advance stock ownership by our employees.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All of our executives, members of senior management, and a sizable number of key employees are eligible to receive long-term incentive awards under our broad-based LTI program. We use a portfolio approach to our LTI program, which includes RSU awards and PSU awards. We provide more information about each of these components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approves all equity-based and other long-term incentive awards for our executives. All the NEOs’ outstanding long-term incentive awards have been granted under shareowner approved plans, which provide for the granting of non-statutory and incentive stock options, incentive bonus awards, performance share awards, PSU awards, restricted stock awards, RSU awards, stock appreciation rights, share awards, stock unit awards, and other share-based awards.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Target Long-Term Incentive Award Amounts</w:t>
      </w:r>
      <w:r>
        <w:rPr>
          <w:rFonts w:ascii="Arial;Helvetica;sans-serif" w:hAnsi="Arial;Helvetica;sans-serif"/>
          <w:sz w:val="20"/>
        </w:rPr>
        <w:t>. Each year the Committee grants equity-based awards for each of our executives based on the executive’s performance and career potential (individual factors). The Committee also considers the long-term compensation paid by our competitors for similar positions based on the peer group and survey data provided by its compensation consultant (external factors). The Committee sets target LTI program opportunities for our executives for the relevant three-year vesting cycle at its meeting following each fiscal year-end.</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49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2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00" descr=""/>
                    <pic:cNvPicPr>
                      <a:picLocks noChangeAspect="1" noChangeArrowheads="1"/>
                    </pic:cNvPicPr>
                  </pic:nvPicPr>
                  <pic:blipFill>
                    <a:blip r:embed="rId101"/>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i/>
          <w:sz w:val="20"/>
        </w:rPr>
      </w:pPr>
      <w:r>
        <w:rPr>
          <w:rFonts w:ascii="Arial;Helvetica;sans-serif" w:hAnsi="Arial;Helvetica;sans-serif"/>
          <w:i/>
          <w:sz w:val="20"/>
        </w:rPr>
        <w:t>Fiscal 2026 LTI Decisions.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shows the target long-term incentive value granted to each of our NEOs under our broad-based annual LTI program for Fiscal 2026, which includes the special LTIP retention awards in the form of RSUs that were granted on October 1, 2025.</w:t>
      </w:r>
    </w:p>
    <w:tbl>
      <w:tblPr>
        <w:tblW w:w="5749" w:type="dxa"/>
        <w:jc w:val="left"/>
        <w:tblInd w:w="0" w:type="dxa"/>
        <w:tblLayout w:type="fixed"/>
        <w:tblCellMar>
          <w:top w:w="0" w:type="dxa"/>
          <w:left w:w="0" w:type="dxa"/>
          <w:bottom w:w="0" w:type="dxa"/>
          <w:right w:w="0" w:type="dxa"/>
        </w:tblCellMar>
      </w:tblPr>
      <w:tblGrid>
        <w:gridCol w:w="1576"/>
        <w:gridCol w:w="346"/>
        <w:gridCol w:w="1501"/>
        <w:gridCol w:w="346"/>
        <w:gridCol w:w="326"/>
        <w:gridCol w:w="1654"/>
      </w:tblGrid>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4" w:type="dxa"/>
            <w:tcBorders/>
            <w:vAlign w:val="center"/>
          </w:tcPr>
          <w:p>
            <w:pPr>
              <w:pStyle w:val="TableContents"/>
              <w:bidi w:val="0"/>
              <w:spacing w:before="0" w:after="0"/>
              <w:ind w:left="0" w:right="0" w:hanging="0"/>
              <w:jc w:val="left"/>
              <w:rPr/>
            </w:pPr>
            <w:r>
              <w:rPr/>
              <w:t>​</w:t>
            </w:r>
          </w:p>
        </w:tc>
      </w:tr>
      <w:tr>
        <w:trPr/>
        <w:tc>
          <w:tcPr>
            <w:tcW w:w="157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50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 Long-term</w:t>
              <w:br/>
              <w:t>Incentive Grant</w:t>
            </w:r>
          </w:p>
        </w:tc>
        <w:tc>
          <w:tcPr>
            <w:tcW w:w="346" w:type="dxa"/>
            <w:tcBorders/>
            <w:shd w:fill="E5E5E5" w:val="clear"/>
            <w:vAlign w:val="center"/>
          </w:tcPr>
          <w:p>
            <w:pPr>
              <w:pStyle w:val="TableContents"/>
              <w:bidi w:val="0"/>
              <w:spacing w:before="0" w:after="0"/>
              <w:ind w:left="0" w:right="0" w:hanging="0"/>
              <w:jc w:val="left"/>
              <w:rPr/>
            </w:pPr>
            <w:r>
              <w:rPr/>
              <w:t>​</w:t>
            </w:r>
          </w:p>
        </w:tc>
        <w:tc>
          <w:tcPr>
            <w:tcW w:w="1980"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Target Long-term</w:t>
              <w:br/>
              <w:t>Incentive Grant</w:t>
            </w:r>
          </w:p>
        </w:tc>
      </w:tr>
      <w:tr>
        <w:trPr/>
        <w:tc>
          <w:tcPr>
            <w:tcW w:w="157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501"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a % of Salary</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980" w:type="dxa"/>
            <w:gridSpan w:val="2"/>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 for Fiscal 2026(1)</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pPr>
            <w:r>
              <w:rPr/>
              <w:t> </w:t>
            </w:r>
          </w:p>
        </w:tc>
        <w:tc>
          <w:tcPr>
            <w:tcW w:w="1501"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525%</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54"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4,941,188</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50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285%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54"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1,541,138</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50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235%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54"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1,252,550</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50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235%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54"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1,023,719</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240%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54"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1,080,000</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values include the target value of all PSUs awarded during the fiscal year, which differs from the PSU values required under applicable disclosure rules in subsequent tables following the Committee Report.</w:t>
            </w:r>
          </w:p>
        </w:tc>
      </w:tr>
    </w:tbl>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i/>
          <w:sz w:val="20"/>
        </w:rPr>
        <w:t>Timing of Equity Grants</w:t>
      </w:r>
      <w:r>
        <w:rPr>
          <w:rFonts w:ascii="Arial;Helvetica;sans-serif" w:hAnsi="Arial;Helvetica;sans-serif"/>
          <w:sz w:val="20"/>
        </w:rPr>
        <w:t>. The Committee grants equity-based awards to our executives on both an annual and as determined basis. Currently we do not grant stock options or stock appreciation rights and only grant RSUs and PSUs. We do not have any program, plan or practice to time annual or ad hoc grants of equity-based awards in coordination with the release of material non-public information or otherwise. In addition, we do not grant stock options or stock appreciation rights during periods in which there is material nonpublic information about our Company, including at any time during the four business days prior to or the one business day following the filing of our periodic reports or the filing or furnishing of a Form 8-K that discloses material nonpublic information.</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Regular Annual Grants</w:t>
            </w:r>
            <w:r>
              <w:rPr>
                <w:rFonts w:ascii="Arial;Helvetica;sans-serif" w:hAnsi="Arial;Helvetica;sans-serif"/>
                <w:b w:val="false"/>
                <w:i w:val="false"/>
                <w:caps w:val="false"/>
                <w:smallCaps w:val="false"/>
                <w:sz w:val="20"/>
              </w:rPr>
              <w:t>. We generally make LTI grants to our NEOs and other senior management on an annual basis. As part of its standing agenda, the Committee approves annual grants of equity-based awards to our executives at its regularly scheduled meeting in July of each year. The Committee has continued to refine its process for determining the date for the annual grant of equity awards, with the intent of insulating the choice of date from any market influences that might affect the decision at a given time. Accordingly, for Fiscal 2026, the Committee determined in advance that grants would be awarded on August 15, 2025, using the fair market value at the close of trading on August 15, 2025.</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val="false"/>
                <w:i/>
                <w:sz w:val="20"/>
              </w:rPr>
              <w:t>Special or One-Time Grants</w:t>
            </w:r>
            <w:r>
              <w:rPr>
                <w:rFonts w:ascii="Arial;Helvetica;sans-serif" w:hAnsi="Arial;Helvetica;sans-serif"/>
                <w:b w:val="false"/>
                <w:i w:val="false"/>
                <w:caps w:val="false"/>
                <w:smallCaps w:val="false"/>
                <w:sz w:val="20"/>
              </w:rPr>
              <w:t>. The Committee retains the discretion to make additional awards to executives at other times relating to the initial hiring of a new officer, for recognition or retention purposes or otherwise.  As described earlier, special LTIP retention awards in the form of RSUs were granted to the NEOs on October 1, 2025, to ensure leadership continuity as the leadership team evaluated strategic initiatives during a time of market uncertainty and some volatility in the Company’s stock price</w:t>
            </w:r>
            <w:r>
              <w:rPr>
                <w:caps w:val="false"/>
                <w:smallCaps w:val="false"/>
              </w:rPr>
              <w:t xml:space="preserve"> </w:t>
            </w:r>
            <w:r>
              <w:rPr>
                <w:rFonts w:ascii="Arial;Helvetica;sans-serif" w:hAnsi="Arial;Helvetica;sans-serif"/>
                <w:b w:val="false"/>
                <w:i w:val="false"/>
                <w:caps w:val="false"/>
                <w:smallCaps w:val="false"/>
                <w:sz w:val="20"/>
              </w:rPr>
              <w:t xml:space="preserve">in Fiscal 2026. </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RSU Awards</w:t>
      </w:r>
      <w:r>
        <w:rPr>
          <w:rFonts w:ascii="Arial;Helvetica;sans-serif" w:hAnsi="Arial;Helvetica;sans-serif"/>
          <w:sz w:val="20"/>
        </w:rPr>
        <w:t>. Since 2010, we have granted restricted stock unit (“RSU”) awards as part of our LTI program. We grant RSU awards because we believe they build ownership in the Company, serve to promote the retention of our employees and address the cyclicality of our business, thereby aligning the interests of our employees and our shareowners. We typically grant RSU awards annually to our executives as part of our broader LTI program, but we sometimes make these grants for other purposes. For example, we may grant these awards to attract new talent or to recognize or motivate our employees. The majority of RSU awards granted under our annual broad-based LTI program vest at the rate of one-third per year over three years. We believe our use of RSU awards helps to promote our retention efforts in that any unvested portion of a RSU award is forfeited if an executive voluntarily terminates employment prior to the applicable vesting date, unless for specific qualified reasons outlined in the award agreements.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number of RSUs awarded to each NEO in Fiscal 2026 as part of their regular annual award was determined by dividing 40% of the total LTI opportunity grant value by the closing price of our stock on the grant date.</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50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2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01" descr=""/>
                    <pic:cNvPicPr>
                      <a:picLocks noChangeAspect="1" noChangeArrowheads="1"/>
                    </pic:cNvPicPr>
                  </pic:nvPicPr>
                  <pic:blipFill>
                    <a:blip r:embed="rId10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PSU Awards</w:t>
      </w:r>
      <w:r>
        <w:rPr>
          <w:rFonts w:ascii="Arial;Helvetica;sans-serif" w:hAnsi="Arial;Helvetica;sans-serif"/>
          <w:sz w:val="20"/>
        </w:rPr>
        <w:t>. PSU awards are both performance-based and service-based, which can only be earned if the Company achieves certain threshold performance criteria established by the Committee and, unless approved for special circumstances, requires the executive to be employed by the Company through the vesting date anniversary following the close of the performance period. Performance metrics for PSUs granted in fiscal years 2024, 2025, and 2026 are shown below.</w:t>
      </w:r>
    </w:p>
    <w:tbl>
      <w:tblPr>
        <w:tblW w:w="7731" w:type="dxa"/>
        <w:jc w:val="left"/>
        <w:tblInd w:w="0" w:type="dxa"/>
        <w:tblLayout w:type="fixed"/>
        <w:tblCellMar>
          <w:top w:w="0" w:type="dxa"/>
          <w:left w:w="0" w:type="dxa"/>
          <w:bottom w:w="0" w:type="dxa"/>
          <w:right w:w="28" w:type="dxa"/>
        </w:tblCellMar>
      </w:tblPr>
      <w:tblGrid>
        <w:gridCol w:w="1066"/>
        <w:gridCol w:w="1201"/>
        <w:gridCol w:w="1396"/>
        <w:gridCol w:w="1666"/>
        <w:gridCol w:w="1546"/>
        <w:gridCol w:w="856"/>
      </w:tblGrid>
      <w:tr>
        <w:trPr/>
        <w:tc>
          <w:tcPr>
            <w:tcW w:w="1066" w:type="dxa"/>
            <w:tcBorders>
              <w:right w:val="single" w:sz="2" w:space="0" w:color="7F7F7F"/>
            </w:tcBorders>
            <w:shd w:fill="E5E5E5" w:val="clear"/>
            <w:vAlign w:val="center"/>
          </w:tcPr>
          <w:p>
            <w:pPr>
              <w:pStyle w:val="TableContents"/>
              <w:bidi w:val="0"/>
              <w:spacing w:before="40" w:after="40"/>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1201" w:type="dxa"/>
            <w:tcBorders>
              <w:left w:val="single" w:sz="2" w:space="0" w:color="7F7F7F"/>
              <w:right w:val="single" w:sz="2" w:space="0" w:color="7F7F7F"/>
            </w:tcBorders>
            <w:shd w:fill="E5E5E5" w:val="clear"/>
            <w:tcMar>
              <w:left w:w="28" w:type="dxa"/>
            </w:tcMar>
            <w:vAlign w:val="center"/>
          </w:tcPr>
          <w:p>
            <w:pPr>
              <w:pStyle w:val="TableContents"/>
              <w:bidi w:val="0"/>
              <w:spacing w:before="40" w:after="40"/>
              <w:ind w:left="0" w:right="0" w:hanging="0"/>
              <w:jc w:val="center"/>
              <w:rPr>
                <w:rFonts w:ascii="Arial;Helvetica;sans-serif" w:hAnsi="Arial;Helvetica;sans-serif"/>
                <w:b/>
                <w:sz w:val="16"/>
              </w:rPr>
            </w:pPr>
            <w:r>
              <w:rPr>
                <w:rFonts w:ascii="Arial;Helvetica;sans-serif" w:hAnsi="Arial;Helvetica;sans-serif"/>
                <w:b/>
                <w:sz w:val="16"/>
              </w:rPr>
              <w:t>Metrics</w:t>
            </w:r>
          </w:p>
        </w:tc>
        <w:tc>
          <w:tcPr>
            <w:tcW w:w="1396" w:type="dxa"/>
            <w:tcBorders>
              <w:left w:val="single" w:sz="2" w:space="0" w:color="7F7F7F"/>
              <w:right w:val="single" w:sz="2" w:space="0" w:color="7F7F7F"/>
            </w:tcBorders>
            <w:shd w:fill="E5E5E5" w:val="clear"/>
            <w:tcMar>
              <w:left w:w="28" w:type="dxa"/>
            </w:tcMar>
            <w:vAlign w:val="center"/>
          </w:tcPr>
          <w:p>
            <w:pPr>
              <w:pStyle w:val="TableContents"/>
              <w:bidi w:val="0"/>
              <w:spacing w:before="40" w:after="40"/>
              <w:ind w:left="0" w:right="0" w:hanging="0"/>
              <w:jc w:val="center"/>
              <w:rPr>
                <w:rFonts w:ascii="Arial;Helvetica;sans-serif" w:hAnsi="Arial;Helvetica;sans-serif"/>
                <w:b/>
                <w:sz w:val="16"/>
              </w:rPr>
            </w:pPr>
            <w:r>
              <w:rPr>
                <w:rFonts w:ascii="Arial;Helvetica;sans-serif" w:hAnsi="Arial;Helvetica;sans-serif"/>
                <w:b/>
                <w:sz w:val="16"/>
              </w:rPr>
              <w:t>Weighting</w:t>
            </w:r>
          </w:p>
        </w:tc>
        <w:tc>
          <w:tcPr>
            <w:tcW w:w="1666" w:type="dxa"/>
            <w:tcBorders>
              <w:left w:val="single" w:sz="2" w:space="0" w:color="7F7F7F"/>
              <w:right w:val="single" w:sz="2" w:space="0" w:color="7F7F7F"/>
            </w:tcBorders>
            <w:shd w:fill="E5E5E5" w:val="clear"/>
            <w:tcMar>
              <w:left w:w="28" w:type="dxa"/>
            </w:tcMar>
            <w:vAlign w:val="center"/>
          </w:tcPr>
          <w:p>
            <w:pPr>
              <w:pStyle w:val="TableContents"/>
              <w:bidi w:val="0"/>
              <w:spacing w:before="40" w:after="40"/>
              <w:ind w:left="0" w:right="0" w:hanging="0"/>
              <w:jc w:val="center"/>
              <w:rPr>
                <w:rFonts w:ascii="Arial;Helvetica;sans-serif" w:hAnsi="Arial;Helvetica;sans-serif"/>
                <w:b/>
                <w:sz w:val="16"/>
              </w:rPr>
            </w:pPr>
            <w:r>
              <w:rPr>
                <w:rFonts w:ascii="Arial;Helvetica;sans-serif" w:hAnsi="Arial;Helvetica;sans-serif"/>
                <w:b/>
                <w:sz w:val="16"/>
              </w:rPr>
              <w:t>Performance Period</w:t>
            </w:r>
          </w:p>
        </w:tc>
        <w:tc>
          <w:tcPr>
            <w:tcW w:w="1546" w:type="dxa"/>
            <w:tcBorders>
              <w:left w:val="single" w:sz="2" w:space="0" w:color="7F7F7F"/>
            </w:tcBorders>
            <w:shd w:fill="E5E5E5" w:val="clear"/>
            <w:tcMar>
              <w:left w:w="28" w:type="dxa"/>
              <w:right w:w="0" w:type="dxa"/>
            </w:tcMar>
            <w:vAlign w:val="center"/>
          </w:tcPr>
          <w:p>
            <w:pPr>
              <w:pStyle w:val="TableContents"/>
              <w:bidi w:val="0"/>
              <w:spacing w:before="40" w:after="40"/>
              <w:ind w:left="0" w:right="0" w:hanging="0"/>
              <w:jc w:val="center"/>
              <w:rPr>
                <w:rFonts w:ascii="Arial;Helvetica;sans-serif" w:hAnsi="Arial;Helvetica;sans-serif"/>
                <w:b/>
                <w:sz w:val="16"/>
              </w:rPr>
            </w:pPr>
            <w:r>
              <w:rPr>
                <w:rFonts w:ascii="Arial;Helvetica;sans-serif" w:hAnsi="Arial;Helvetica;sans-serif"/>
                <w:b/>
                <w:sz w:val="16"/>
              </w:rPr>
              <w:t>Goals Established</w:t>
            </w:r>
          </w:p>
        </w:tc>
        <w:tc>
          <w:tcPr>
            <w:tcW w:w="8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1066" w:type="dxa"/>
            <w:tcBorders>
              <w:right w:val="single" w:sz="2" w:space="0" w:color="7F7F7F"/>
            </w:tcBorders>
            <w:vAlign w:val="center"/>
          </w:tcPr>
          <w:p>
            <w:pPr>
              <w:pStyle w:val="TableContents"/>
              <w:bidi w:val="0"/>
              <w:spacing w:before="0" w:after="0"/>
              <w:ind w:left="0" w:right="0" w:hanging="0"/>
              <w:jc w:val="left"/>
              <w:rPr/>
            </w:pPr>
            <w:r>
              <w:rPr/>
              <w:t>​</w:t>
            </w:r>
          </w:p>
        </w:tc>
        <w:tc>
          <w:tcPr>
            <w:tcW w:w="1201" w:type="dxa"/>
            <w:tcBorders>
              <w:left w:val="single" w:sz="2" w:space="0" w:color="7F7F7F"/>
              <w:right w:val="single" w:sz="2" w:space="0" w:color="7F7F7F"/>
            </w:tcBorders>
            <w:tcMar>
              <w:left w:w="28" w:type="dxa"/>
            </w:tcMar>
            <w:vAlign w:val="center"/>
          </w:tcPr>
          <w:p>
            <w:pPr>
              <w:pStyle w:val="TableContents"/>
              <w:bidi w:val="0"/>
              <w:spacing w:before="0" w:after="0"/>
              <w:ind w:left="0" w:right="0" w:hanging="0"/>
              <w:jc w:val="center"/>
              <w:rPr/>
            </w:pPr>
            <w:r>
              <w:rPr/>
              <w:t>​</w:t>
            </w:r>
          </w:p>
        </w:tc>
        <w:tc>
          <w:tcPr>
            <w:tcW w:w="1396" w:type="dxa"/>
            <w:tcBorders>
              <w:left w:val="single" w:sz="2" w:space="0" w:color="7F7F7F"/>
              <w:right w:val="single" w:sz="2" w:space="0" w:color="7F7F7F"/>
            </w:tcBorders>
            <w:tcMar>
              <w:left w:w="28" w:type="dxa"/>
            </w:tcMar>
            <w:vAlign w:val="center"/>
          </w:tcPr>
          <w:p>
            <w:pPr>
              <w:pStyle w:val="TableContents"/>
              <w:bidi w:val="0"/>
              <w:spacing w:before="0" w:after="0"/>
              <w:ind w:left="0" w:right="0" w:hanging="0"/>
              <w:jc w:val="center"/>
              <w:rPr/>
            </w:pPr>
            <w:r>
              <w:rPr/>
              <w:t>​</w:t>
            </w:r>
          </w:p>
        </w:tc>
        <w:tc>
          <w:tcPr>
            <w:tcW w:w="1666" w:type="dxa"/>
            <w:tcBorders>
              <w:left w:val="single" w:sz="2" w:space="0" w:color="7F7F7F"/>
              <w:right w:val="single" w:sz="2" w:space="0" w:color="7F7F7F"/>
            </w:tcBorders>
            <w:tcMar>
              <w:left w:w="28" w:type="dxa"/>
            </w:tcMar>
            <w:vAlign w:val="center"/>
          </w:tcPr>
          <w:p>
            <w:pPr>
              <w:pStyle w:val="TableContents"/>
              <w:bidi w:val="0"/>
              <w:spacing w:before="0" w:after="0"/>
              <w:ind w:left="0" w:right="0" w:hanging="0"/>
              <w:jc w:val="center"/>
              <w:rPr/>
            </w:pPr>
            <w:r>
              <w:rPr/>
              <w:t>​</w:t>
            </w:r>
          </w:p>
        </w:tc>
        <w:tc>
          <w:tcPr>
            <w:tcW w:w="1546" w:type="dxa"/>
            <w:tcBorders>
              <w:left w:val="single" w:sz="2" w:space="0" w:color="7F7F7F"/>
            </w:tcBorders>
            <w:tcMar>
              <w:left w:w="28" w:type="dxa"/>
              <w:right w:w="0" w:type="dxa"/>
            </w:tcMar>
            <w:vAlign w:val="center"/>
          </w:tcPr>
          <w:p>
            <w:pPr>
              <w:pStyle w:val="TableContents"/>
              <w:bidi w:val="0"/>
              <w:spacing w:before="0" w:after="0"/>
              <w:ind w:left="0" w:right="0" w:hanging="0"/>
              <w:jc w:val="center"/>
              <w:rPr/>
            </w:pPr>
            <w:r>
              <w:rPr/>
              <w:t>​</w:t>
            </w:r>
          </w:p>
        </w:tc>
        <w:tc>
          <w:tcPr>
            <w:tcW w:w="8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1066" w:type="dxa"/>
            <w:vMerge w:val="restart"/>
            <w:tcBorders/>
            <w:tcMar>
              <w:right w:w="0" w:type="dxa"/>
            </w:tcMar>
            <w:vAlign w:val="center"/>
          </w:tcPr>
          <w:p>
            <w:pPr>
              <w:pStyle w:val="TableContents"/>
              <w:bidi w:val="0"/>
              <w:spacing w:before="60" w:after="6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2024</w:t>
              <w:br/>
              <w:t>“2024 PSUs”</w:t>
            </w:r>
          </w:p>
        </w:tc>
        <w:tc>
          <w:tcPr>
            <w:tcW w:w="1201" w:type="dxa"/>
            <w:tcBorders>
              <w:left w:val="single" w:sz="2" w:space="0" w:color="7F7F7F"/>
              <w:bottom w:val="single" w:sz="2" w:space="0" w:color="7F7F7F"/>
              <w:right w:val="single" w:sz="2" w:space="0" w:color="7F7F7F"/>
            </w:tcBorders>
            <w:tcMar>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Adjusted ROIC</w:t>
            </w:r>
          </w:p>
        </w:tc>
        <w:tc>
          <w:tcPr>
            <w:tcW w:w="1396" w:type="dxa"/>
            <w:tcBorders>
              <w:left w:val="single" w:sz="2" w:space="0" w:color="7F7F7F"/>
              <w:bottom w:val="single" w:sz="2" w:space="0" w:color="7F7F7F"/>
              <w:right w:val="single" w:sz="2" w:space="0" w:color="7F7F7F"/>
            </w:tcBorders>
            <w:tcMar>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66.66%</w:t>
            </w:r>
          </w:p>
        </w:tc>
        <w:tc>
          <w:tcPr>
            <w:tcW w:w="1666" w:type="dxa"/>
            <w:tcBorders>
              <w:left w:val="single" w:sz="2" w:space="0" w:color="7F7F7F"/>
              <w:bottom w:val="single" w:sz="2" w:space="0" w:color="7F7F7F"/>
              <w:right w:val="single" w:sz="2" w:space="0" w:color="7F7F7F"/>
            </w:tcBorders>
            <w:tcMar>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3 one-year periods</w:t>
            </w:r>
          </w:p>
        </w:tc>
        <w:tc>
          <w:tcPr>
            <w:tcW w:w="1546" w:type="dxa"/>
            <w:tcBorders>
              <w:left w:val="single" w:sz="2" w:space="0" w:color="7F7F7F"/>
              <w:bottom w:val="single" w:sz="2" w:space="0" w:color="7F7F7F"/>
            </w:tcBorders>
            <w:tcMar>
              <w:left w:w="28" w:type="dxa"/>
              <w:bottom w:w="28" w:type="dxa"/>
              <w:right w:w="0"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July of each fiscal</w:t>
              <w:br/>
              <w:t>year for each</w:t>
              <w:br/>
              <w:t>one-year period</w:t>
            </w:r>
          </w:p>
        </w:tc>
        <w:tc>
          <w:tcPr>
            <w:tcW w:w="8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1066" w:type="dxa"/>
            <w:vMerge w:val="continue"/>
            <w:tcBorders/>
            <w:tcMar>
              <w:right w:w="0" w:type="dxa"/>
            </w:tcMar>
            <w:vAlign w:val="center"/>
          </w:tcPr>
          <w:p>
            <w:pPr>
              <w:pStyle w:val="Normal"/>
              <w:bidi w:val="0"/>
              <w:jc w:val="left"/>
              <w:rPr/>
            </w:pPr>
            <w:r>
              <w:rPr/>
            </w:r>
          </w:p>
        </w:tc>
        <w:tc>
          <w:tcPr>
            <w:tcW w:w="1201" w:type="dxa"/>
            <w:tcBorders>
              <w:bottom w:val="single" w:sz="2" w:space="0" w:color="7F7F7F"/>
              <w:right w:val="single" w:sz="2" w:space="0" w:color="7F7F7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9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Average Adjusted</w:t>
              <w:br/>
              <w:t>EBITDA Margin</w:t>
            </w:r>
          </w:p>
        </w:tc>
        <w:tc>
          <w:tcPr>
            <w:tcW w:w="166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33.34%</w:t>
            </w:r>
          </w:p>
        </w:tc>
        <w:tc>
          <w:tcPr>
            <w:tcW w:w="154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Three-year period</w:t>
            </w:r>
          </w:p>
        </w:tc>
        <w:tc>
          <w:tcPr>
            <w:tcW w:w="856" w:type="dxa"/>
            <w:tcBorders>
              <w:top w:val="single" w:sz="2" w:space="0" w:color="7F7F7F"/>
              <w:left w:val="single" w:sz="2" w:space="0" w:color="7F7F7F"/>
              <w:bottom w:val="single" w:sz="2" w:space="0" w:color="7F7F7F"/>
            </w:tcBorders>
            <w:tcMar>
              <w:top w:w="28" w:type="dxa"/>
              <w:left w:w="28" w:type="dxa"/>
              <w:bottom w:w="28" w:type="dxa"/>
              <w:right w:w="0"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July 2023</w:t>
            </w:r>
          </w:p>
        </w:tc>
      </w:tr>
      <w:tr>
        <w:trPr/>
        <w:tc>
          <w:tcPr>
            <w:tcW w:w="1066" w:type="dxa"/>
            <w:vMerge w:val="restart"/>
            <w:tcBorders/>
            <w:tcMar>
              <w:right w:w="0" w:type="dxa"/>
            </w:tcMar>
            <w:vAlign w:val="center"/>
          </w:tcPr>
          <w:p>
            <w:pPr>
              <w:pStyle w:val="TableContents"/>
              <w:bidi w:val="0"/>
              <w:spacing w:before="60" w:after="6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2025</w:t>
              <w:br/>
              <w:t>“2025 PSUs”</w:t>
            </w:r>
          </w:p>
        </w:tc>
        <w:tc>
          <w:tcPr>
            <w:tcW w:w="1201"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Adjusted ROIC</w:t>
            </w:r>
          </w:p>
        </w:tc>
        <w:tc>
          <w:tcPr>
            <w:tcW w:w="139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66.66%</w:t>
            </w:r>
          </w:p>
        </w:tc>
        <w:tc>
          <w:tcPr>
            <w:tcW w:w="166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3 one-year periods</w:t>
            </w:r>
          </w:p>
        </w:tc>
        <w:tc>
          <w:tcPr>
            <w:tcW w:w="1546" w:type="dxa"/>
            <w:tcBorders>
              <w:top w:val="single" w:sz="2" w:space="0" w:color="7F7F7F"/>
              <w:left w:val="single" w:sz="2" w:space="0" w:color="7F7F7F"/>
              <w:bottom w:val="single" w:sz="2" w:space="0" w:color="7F7F7F"/>
            </w:tcBorders>
            <w:tcMar>
              <w:top w:w="28" w:type="dxa"/>
              <w:left w:w="28" w:type="dxa"/>
              <w:bottom w:w="28" w:type="dxa"/>
              <w:right w:w="0"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July of each fiscal</w:t>
              <w:br/>
              <w:t>year for each</w:t>
              <w:br/>
              <w:t>one-year period</w:t>
            </w:r>
          </w:p>
        </w:tc>
        <w:tc>
          <w:tcPr>
            <w:tcW w:w="8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1066" w:type="dxa"/>
            <w:vMerge w:val="continue"/>
            <w:tcBorders/>
            <w:tcMar>
              <w:right w:w="0" w:type="dxa"/>
            </w:tcMar>
            <w:vAlign w:val="center"/>
          </w:tcPr>
          <w:p>
            <w:pPr>
              <w:pStyle w:val="Normal"/>
              <w:bidi w:val="0"/>
              <w:jc w:val="left"/>
              <w:rPr/>
            </w:pPr>
            <w:r>
              <w:rPr/>
            </w:r>
          </w:p>
        </w:tc>
        <w:tc>
          <w:tcPr>
            <w:tcW w:w="1201" w:type="dxa"/>
            <w:tcBorders>
              <w:top w:val="single" w:sz="2" w:space="0" w:color="7F7F7F"/>
              <w:bottom w:val="single" w:sz="2" w:space="0" w:color="7F7F7F"/>
              <w:right w:val="single" w:sz="2" w:space="0" w:color="7F7F7F"/>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139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Average Adjusted</w:t>
              <w:br/>
              <w:t>EBITDA Margin</w:t>
            </w:r>
          </w:p>
        </w:tc>
        <w:tc>
          <w:tcPr>
            <w:tcW w:w="166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33.34%</w:t>
            </w:r>
          </w:p>
        </w:tc>
        <w:tc>
          <w:tcPr>
            <w:tcW w:w="154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Three-year period</w:t>
            </w:r>
          </w:p>
        </w:tc>
        <w:tc>
          <w:tcPr>
            <w:tcW w:w="856" w:type="dxa"/>
            <w:tcBorders>
              <w:top w:val="single" w:sz="2" w:space="0" w:color="7F7F7F"/>
              <w:left w:val="single" w:sz="2" w:space="0" w:color="7F7F7F"/>
              <w:bottom w:val="single" w:sz="2" w:space="0" w:color="7F7F7F"/>
            </w:tcBorders>
            <w:tcMar>
              <w:top w:w="28" w:type="dxa"/>
              <w:left w:w="28" w:type="dxa"/>
              <w:bottom w:w="28" w:type="dxa"/>
              <w:right w:w="0"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July 2024</w:t>
            </w:r>
          </w:p>
        </w:tc>
      </w:tr>
      <w:tr>
        <w:trPr/>
        <w:tc>
          <w:tcPr>
            <w:tcW w:w="1066" w:type="dxa"/>
            <w:vMerge w:val="restart"/>
            <w:tcBorders/>
            <w:tcMar>
              <w:right w:w="0" w:type="dxa"/>
            </w:tcMar>
            <w:vAlign w:val="center"/>
          </w:tcPr>
          <w:p>
            <w:pPr>
              <w:pStyle w:val="TableContents"/>
              <w:bidi w:val="0"/>
              <w:spacing w:before="60" w:after="6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Fiscal 2026</w:t>
              <w:br/>
              <w:t>“2026 PSUs”</w:t>
            </w:r>
          </w:p>
        </w:tc>
        <w:tc>
          <w:tcPr>
            <w:tcW w:w="1201"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Adjusted ROIC</w:t>
            </w:r>
          </w:p>
        </w:tc>
        <w:tc>
          <w:tcPr>
            <w:tcW w:w="139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50%</w:t>
            </w:r>
          </w:p>
        </w:tc>
        <w:tc>
          <w:tcPr>
            <w:tcW w:w="166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3 one-year periods</w:t>
            </w:r>
          </w:p>
        </w:tc>
        <w:tc>
          <w:tcPr>
            <w:tcW w:w="1546" w:type="dxa"/>
            <w:tcBorders>
              <w:top w:val="single" w:sz="2" w:space="0" w:color="7F7F7F"/>
              <w:left w:val="single" w:sz="2" w:space="0" w:color="7F7F7F"/>
              <w:bottom w:val="single" w:sz="2" w:space="0" w:color="7F7F7F"/>
            </w:tcBorders>
            <w:tcMar>
              <w:top w:w="28" w:type="dxa"/>
              <w:left w:w="28" w:type="dxa"/>
              <w:bottom w:w="28" w:type="dxa"/>
              <w:right w:w="0"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July of each fiscal</w:t>
              <w:br/>
              <w:t>year for each</w:t>
              <w:br/>
              <w:t>one-year period</w:t>
            </w:r>
          </w:p>
        </w:tc>
        <w:tc>
          <w:tcPr>
            <w:tcW w:w="856"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1066" w:type="dxa"/>
            <w:vMerge w:val="continue"/>
            <w:tcBorders/>
            <w:tcMar>
              <w:right w:w="0" w:type="dxa"/>
            </w:tcMar>
            <w:vAlign w:val="center"/>
          </w:tcPr>
          <w:p>
            <w:pPr>
              <w:pStyle w:val="Normal"/>
              <w:bidi w:val="0"/>
              <w:jc w:val="left"/>
              <w:rPr/>
            </w:pPr>
            <w:r>
              <w:rPr/>
            </w:r>
          </w:p>
        </w:tc>
        <w:tc>
          <w:tcPr>
            <w:tcW w:w="1201" w:type="dxa"/>
            <w:tcBorders>
              <w:top w:val="single" w:sz="2" w:space="0" w:color="7F7F7F"/>
              <w:bottom w:val="single" w:sz="2" w:space="0" w:color="7F7F7F"/>
              <w:right w:val="single" w:sz="2" w:space="0" w:color="7F7F7F"/>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139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Average Adjusted</w:t>
              <w:br/>
              <w:t>EBITDA Margin</w:t>
            </w:r>
          </w:p>
        </w:tc>
        <w:tc>
          <w:tcPr>
            <w:tcW w:w="166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50%</w:t>
            </w:r>
          </w:p>
        </w:tc>
        <w:tc>
          <w:tcPr>
            <w:tcW w:w="1546" w:type="dxa"/>
            <w:tcBorders>
              <w:top w:val="single" w:sz="2" w:space="0" w:color="7F7F7F"/>
              <w:left w:val="single" w:sz="2" w:space="0" w:color="7F7F7F"/>
              <w:bottom w:val="single" w:sz="2" w:space="0" w:color="7F7F7F"/>
              <w:right w:val="single" w:sz="2" w:space="0" w:color="7F7F7F"/>
            </w:tcBorders>
            <w:tcMar>
              <w:top w:w="28" w:type="dxa"/>
              <w:left w:w="28" w:type="dxa"/>
              <w:bottom w:w="28"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Three-year period</w:t>
            </w:r>
          </w:p>
        </w:tc>
        <w:tc>
          <w:tcPr>
            <w:tcW w:w="856" w:type="dxa"/>
            <w:tcBorders>
              <w:top w:val="single" w:sz="2" w:space="0" w:color="7F7F7F"/>
              <w:left w:val="single" w:sz="2" w:space="0" w:color="7F7F7F"/>
              <w:bottom w:val="single" w:sz="2" w:space="0" w:color="7F7F7F"/>
            </w:tcBorders>
            <w:tcMar>
              <w:top w:w="28" w:type="dxa"/>
              <w:left w:w="28" w:type="dxa"/>
              <w:bottom w:w="28" w:type="dxa"/>
              <w:right w:w="0" w:type="dxa"/>
            </w:tcMar>
            <w:vAlign w:val="center"/>
          </w:tcPr>
          <w:p>
            <w:pPr>
              <w:pStyle w:val="TableContents"/>
              <w:bidi w:val="0"/>
              <w:spacing w:before="60" w:after="60"/>
              <w:ind w:left="0" w:right="0" w:hanging="0"/>
              <w:jc w:val="center"/>
              <w:rPr>
                <w:rFonts w:ascii="Arial;Helvetica;sans-serif" w:hAnsi="Arial;Helvetica;sans-serif"/>
                <w:sz w:val="16"/>
              </w:rPr>
            </w:pPr>
            <w:r>
              <w:rPr>
                <w:rFonts w:ascii="Arial;Helvetica;sans-serif" w:hAnsi="Arial;Helvetica;sans-serif"/>
                <w:sz w:val="16"/>
              </w:rPr>
              <w:t>July 2025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the 2024 and 2025 PSUs, 66.66% of the PSUs were weighted based on Adjusted ROIC performance and 33.34% were weighted based on Average Adjusted EBITDA Margin, with the Average Adjusted EBITDA Margin applied at the end of the three-year performance period. For the 2026 PSUs, no change was made to the metrics or the performance periods. However, the Committee shifted the weightings to 50% Adjusted ROIC and 50% Adjusted EBITDA Margin to place more emphasis on long-term profit margin.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Adjusted ROIC goals have been established at threshold, target and maximum award levels for each year within the applicable performance period. The Committee has established this approach to goal setting to address the cyclicality of our industry and to partially mitigate the risk of establishing long-term performance goals at either the peak or trough of the business cycle. In addition, the service condition encourages retention.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Fiscal 2026, only one-third of the Fiscal 2024, Fiscal 2025, and Fiscal 2026 PSU awards tied to Adjusted ROIC will be reported in subsequent tables following the Committee Report under applicable disclosure rules, as financial targets for remaining tranches will be set near the beginning of each of the subsequent fiscal years. The remaining tranches will be reported as separate grants when the applicable Adjusted ROIC goals are established by the Committee.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number of target PSUs awarded to each NEO in Fiscal 2026 as part of their annual awards was determined by dividing 60% of the total LTI opportunity grant value by the closing price of our stock on the grant date with the opportunity to earn more or less than the target PSUs awarded as described below.</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table below presents the Adjusted ROIC goals for the 2024 PSUs for Fiscal 2026 (which was the third year of the 2024 PSUs) and Adjusted EBITDA Margin three-year average goals. Any fiscal year performance below threshold ROIC results </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51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3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02" descr=""/>
                    <pic:cNvPicPr>
                      <a:picLocks noChangeAspect="1" noChangeArrowheads="1"/>
                    </pic:cNvPicPr>
                  </pic:nvPicPr>
                  <pic:blipFill>
                    <a:blip r:embed="rId10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no payment for that fiscal year’s tranche; any EBITDA Margin three-year average performance below threshold results in no payment for the three-year period.</w:t>
      </w:r>
    </w:p>
    <w:tbl>
      <w:tblPr>
        <w:tblW w:w="9171" w:type="dxa"/>
        <w:jc w:val="left"/>
        <w:tblInd w:w="0" w:type="dxa"/>
        <w:tblLayout w:type="fixed"/>
        <w:tblCellMar>
          <w:top w:w="0" w:type="dxa"/>
          <w:left w:w="0" w:type="dxa"/>
          <w:bottom w:w="0" w:type="dxa"/>
          <w:right w:w="0" w:type="dxa"/>
        </w:tblCellMar>
      </w:tblPr>
      <w:tblGrid>
        <w:gridCol w:w="1321"/>
        <w:gridCol w:w="1261"/>
        <w:gridCol w:w="1201"/>
        <w:gridCol w:w="109"/>
        <w:gridCol w:w="1787"/>
        <w:gridCol w:w="1787"/>
        <w:gridCol w:w="1705"/>
      </w:tblGrid>
      <w:tr>
        <w:trPr/>
        <w:tc>
          <w:tcPr>
            <w:tcW w:w="132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05" w:type="dxa"/>
            <w:tcBorders/>
            <w:vAlign w:val="center"/>
          </w:tcPr>
          <w:p>
            <w:pPr>
              <w:pStyle w:val="TableContents"/>
              <w:bidi w:val="0"/>
              <w:spacing w:before="0" w:after="0"/>
              <w:ind w:left="0" w:right="0" w:hanging="0"/>
              <w:jc w:val="left"/>
              <w:rPr/>
            </w:pPr>
            <w:r>
              <w:rPr/>
              <w:t>​</w:t>
            </w:r>
          </w:p>
        </w:tc>
      </w:tr>
      <w:tr>
        <w:trPr/>
        <w:tc>
          <w:tcPr>
            <w:tcW w:w="3783" w:type="dxa"/>
            <w:gridSpan w:val="3"/>
            <w:tcBorders>
              <w:left w:val="single" w:sz="12" w:space="0" w:color="FDF1B5"/>
            </w:tcBorders>
            <w:tcMar>
              <w:lef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ROIC Performance Level</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left"/>
              <w:rPr/>
            </w:pPr>
            <w:r>
              <w:rPr/>
              <w:t>​</w:t>
            </w:r>
          </w:p>
        </w:tc>
        <w:tc>
          <w:tcPr>
            <w:tcW w:w="5279" w:type="dxa"/>
            <w:gridSpan w:val="3"/>
            <w:tcBorders>
              <w:left w:val="single" w:sz="12" w:space="0" w:color="FDF1B5"/>
            </w:tcBorders>
            <w:tcMar>
              <w:lef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EBITDA Margin 3-year Average Goals (FY24-FY26)</w:t>
            </w:r>
          </w:p>
        </w:tc>
      </w:tr>
      <w:tr>
        <w:trPr/>
        <w:tc>
          <w:tcPr>
            <w:tcW w:w="1321" w:type="dxa"/>
            <w:tcBorders>
              <w:left w:val="single" w:sz="12" w:space="0" w:color="FDF1B5"/>
            </w:tcBorders>
            <w:tcMar>
              <w:left w:w="28" w:type="dxa"/>
            </w:tcMar>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left"/>
              <w:rPr/>
            </w:pPr>
            <w:r>
              <w:rPr/>
              <w:t>​</w:t>
            </w:r>
          </w:p>
        </w:tc>
        <w:tc>
          <w:tcPr>
            <w:tcW w:w="1787" w:type="dxa"/>
            <w:tcBorders>
              <w:left w:val="single" w:sz="12" w:space="0" w:color="FDF1B5"/>
            </w:tcBorders>
            <w:tcMar>
              <w:left w:w="28" w:type="dxa"/>
            </w:tcMar>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05" w:type="dxa"/>
            <w:tcBorders/>
            <w:vAlign w:val="center"/>
          </w:tcPr>
          <w:p>
            <w:pPr>
              <w:pStyle w:val="TableContents"/>
              <w:bidi w:val="0"/>
              <w:spacing w:before="0" w:after="0"/>
              <w:ind w:left="0" w:right="0" w:hanging="0"/>
              <w:jc w:val="left"/>
              <w:rPr/>
            </w:pPr>
            <w:r>
              <w:rPr/>
              <w:t>​</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Maximum</w:t>
            </w:r>
          </w:p>
        </w:tc>
        <w:tc>
          <w:tcPr>
            <w:tcW w:w="1261" w:type="dxa"/>
            <w:tcBorders/>
            <w:shd w:fill="FFCF03" w:val="clear"/>
            <w:vAlign w:val="center"/>
          </w:tcPr>
          <w:p>
            <w:pPr>
              <w:pStyle w:val="TableContents"/>
              <w:bidi w:val="0"/>
              <w:spacing w:before="0" w:after="20"/>
              <w:ind w:left="0" w:right="0" w:hanging="0"/>
              <w:jc w:val="center"/>
              <w:rPr>
                <w:rFonts w:ascii="Arial;Helvetica;sans-serif" w:hAnsi="Arial;Helvetica;sans-serif"/>
                <w:sz w:val="18"/>
              </w:rPr>
            </w:pPr>
            <w:r>
              <w:rPr>
                <w:rFonts w:ascii="Arial;Helvetica;sans-serif" w:hAnsi="Arial;Helvetica;sans-serif"/>
                <w:sz w:val="18"/>
              </w:rPr>
              <w:t>Target</w:t>
            </w:r>
          </w:p>
        </w:tc>
        <w:tc>
          <w:tcPr>
            <w:tcW w:w="1201" w:type="dxa"/>
            <w:tcBorders/>
            <w:shd w:fill="949599" w:val="cle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Threshold</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Maximum</w:t>
            </w:r>
          </w:p>
        </w:tc>
        <w:tc>
          <w:tcPr>
            <w:tcW w:w="1787" w:type="dxa"/>
            <w:tcBorders/>
            <w:shd w:fill="FFCF03" w:val="clear"/>
            <w:vAlign w:val="center"/>
          </w:tcPr>
          <w:p>
            <w:pPr>
              <w:pStyle w:val="TableContents"/>
              <w:bidi w:val="0"/>
              <w:spacing w:before="0" w:after="20"/>
              <w:ind w:left="0" w:right="0" w:hanging="0"/>
              <w:jc w:val="center"/>
              <w:rPr>
                <w:rFonts w:ascii="Arial;Helvetica;sans-serif" w:hAnsi="Arial;Helvetica;sans-serif"/>
                <w:sz w:val="18"/>
              </w:rPr>
            </w:pPr>
            <w:r>
              <w:rPr>
                <w:rFonts w:ascii="Arial;Helvetica;sans-serif" w:hAnsi="Arial;Helvetica;sans-serif"/>
                <w:sz w:val="18"/>
              </w:rPr>
              <w:t>Target</w:t>
            </w:r>
          </w:p>
        </w:tc>
        <w:tc>
          <w:tcPr>
            <w:tcW w:w="1705" w:type="dxa"/>
            <w:tcBorders/>
            <w:shd w:fill="949599" w:val="cle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Threshold</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10.0%</w:t>
            </w:r>
          </w:p>
        </w:tc>
        <w:tc>
          <w:tcPr>
            <w:tcW w:w="1261" w:type="dxa"/>
            <w:tcBorders/>
            <w:shd w:fill="FFCF03" w:val="clear"/>
            <w:vAlign w:val="center"/>
          </w:tcPr>
          <w:p>
            <w:pPr>
              <w:pStyle w:val="TableContents"/>
              <w:bidi w:val="0"/>
              <w:spacing w:before="0" w:after="20"/>
              <w:ind w:left="0" w:right="0" w:hanging="0"/>
              <w:jc w:val="center"/>
              <w:rPr>
                <w:rFonts w:ascii="Arial;Helvetica;sans-serif" w:hAnsi="Arial;Helvetica;sans-serif"/>
                <w:b/>
                <w:sz w:val="18"/>
              </w:rPr>
            </w:pPr>
            <w:r>
              <w:rPr>
                <w:rFonts w:ascii="Arial;Helvetica;sans-serif" w:hAnsi="Arial;Helvetica;sans-serif"/>
                <w:b/>
                <w:sz w:val="18"/>
              </w:rPr>
              <w:t>6.9%</w:t>
            </w:r>
          </w:p>
        </w:tc>
        <w:tc>
          <w:tcPr>
            <w:tcW w:w="1201" w:type="dxa"/>
            <w:tcBorders/>
            <w:shd w:fill="949599" w:val="cle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3.8%</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18.5%</w:t>
            </w:r>
          </w:p>
        </w:tc>
        <w:tc>
          <w:tcPr>
            <w:tcW w:w="1787" w:type="dxa"/>
            <w:tcBorders/>
            <w:shd w:fill="FFCF03" w:val="clear"/>
            <w:vAlign w:val="center"/>
          </w:tcPr>
          <w:p>
            <w:pPr>
              <w:pStyle w:val="TableContents"/>
              <w:bidi w:val="0"/>
              <w:spacing w:before="0" w:after="20"/>
              <w:ind w:left="0" w:right="0" w:hanging="0"/>
              <w:jc w:val="center"/>
              <w:rPr>
                <w:rFonts w:ascii="Arial;Helvetica;sans-serif" w:hAnsi="Arial;Helvetica;sans-serif"/>
                <w:b/>
                <w:sz w:val="18"/>
              </w:rPr>
            </w:pPr>
            <w:r>
              <w:rPr>
                <w:rFonts w:ascii="Arial;Helvetica;sans-serif" w:hAnsi="Arial;Helvetica;sans-serif"/>
                <w:b/>
                <w:sz w:val="18"/>
              </w:rPr>
              <w:t>16.8%</w:t>
            </w:r>
          </w:p>
        </w:tc>
        <w:tc>
          <w:tcPr>
            <w:tcW w:w="1705" w:type="dxa"/>
            <w:tcBorders/>
            <w:shd w:fill="949599" w:val="cle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14.3%</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(200% payout)</w:t>
            </w:r>
          </w:p>
        </w:tc>
        <w:tc>
          <w:tcPr>
            <w:tcW w:w="1261" w:type="dxa"/>
            <w:tcBorders/>
            <w:shd w:fill="FFCF03"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(100%payout)</w:t>
            </w:r>
          </w:p>
        </w:tc>
        <w:tc>
          <w:tcPr>
            <w:tcW w:w="1201" w:type="dxa"/>
            <w:tcBorders/>
            <w:shd w:fill="949599" w:val="cle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(50% payout)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(200% payout)</w:t>
            </w:r>
          </w:p>
        </w:tc>
        <w:tc>
          <w:tcPr>
            <w:tcW w:w="1787" w:type="dxa"/>
            <w:tcBorders/>
            <w:shd w:fill="FFCF03"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(100% payout)</w:t>
            </w:r>
          </w:p>
        </w:tc>
        <w:tc>
          <w:tcPr>
            <w:tcW w:w="1705" w:type="dxa"/>
            <w:tcBorders/>
            <w:shd w:fill="949599" w:val="cle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(50% payout)</w:t>
            </w:r>
          </w:p>
        </w:tc>
      </w:tr>
      <w:tr>
        <w:trPr/>
        <w:tc>
          <w:tcPr>
            <w:tcW w:w="1321" w:type="dxa"/>
            <w:tcBorders>
              <w:left w:val="single" w:sz="12" w:space="0" w:color="FDF1B5"/>
              <w:bottom w:val="single" w:sz="12" w:space="0" w:color="FDF1B5"/>
            </w:tcBorders>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261" w:type="dxa"/>
            <w:tcBorders>
              <w:bottom w:val="single" w:sz="12" w:space="0" w:color="FDF1B5"/>
            </w:tcBorders>
            <w:tcMar>
              <w:bottom w:w="28" w:type="dxa"/>
            </w:tcMar>
            <w:vAlign w:val="center"/>
          </w:tcPr>
          <w:p>
            <w:pPr>
              <w:pStyle w:val="TableContents"/>
              <w:bidi w:val="0"/>
              <w:spacing w:before="0" w:after="0"/>
              <w:ind w:left="0" w:right="0" w:hanging="0"/>
              <w:jc w:val="center"/>
              <w:rPr/>
            </w:pPr>
            <w:r>
              <w:rPr/>
              <w:t>​</w:t>
            </w:r>
          </w:p>
        </w:tc>
        <w:tc>
          <w:tcPr>
            <w:tcW w:w="1201" w:type="dxa"/>
            <w:tcBorders>
              <w:bottom w:val="single" w:sz="12" w:space="0" w:color="FDF1B5"/>
            </w:tcBorders>
            <w:tcMar>
              <w:bottom w:w="28" w:type="dxa"/>
            </w:tcMar>
            <w:vAlign w:val="center"/>
          </w:tcPr>
          <w:p>
            <w:pPr>
              <w:pStyle w:val="TableContents"/>
              <w:bidi w:val="0"/>
              <w:spacing w:before="0" w:after="0"/>
              <w:ind w:left="0" w:right="0" w:hanging="0"/>
              <w:jc w:val="center"/>
              <w:rPr>
                <w:color w:val="FFFFFF"/>
              </w:rPr>
            </w:pPr>
            <w:r>
              <w:rPr>
                <w:color w:val="FFFFFF"/>
              </w:rPr>
              <w: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bottom w:val="single" w:sz="12" w:space="0" w:color="FDF1B5"/>
            </w:tcBorders>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787" w:type="dxa"/>
            <w:tcBorders>
              <w:bottom w:val="single" w:sz="12" w:space="0" w:color="FDF1B5"/>
            </w:tcBorders>
            <w:tcMar>
              <w:bottom w:w="28" w:type="dxa"/>
            </w:tcMar>
            <w:vAlign w:val="center"/>
          </w:tcPr>
          <w:p>
            <w:pPr>
              <w:pStyle w:val="TableContents"/>
              <w:bidi w:val="0"/>
              <w:spacing w:before="0" w:after="0"/>
              <w:ind w:left="0" w:right="0" w:hanging="0"/>
              <w:jc w:val="center"/>
              <w:rPr/>
            </w:pPr>
            <w:r>
              <w:rPr/>
              <w:t>​</w:t>
            </w:r>
          </w:p>
        </w:tc>
        <w:tc>
          <w:tcPr>
            <w:tcW w:w="1705" w:type="dxa"/>
            <w:tcBorders>
              <w:bottom w:val="single" w:sz="12" w:space="0" w:color="FDF1B5"/>
            </w:tcBorders>
            <w:tcMar>
              <w:bottom w:w="28" w:type="dxa"/>
            </w:tcMar>
            <w:vAlign w:val="center"/>
          </w:tcPr>
          <w:p>
            <w:pPr>
              <w:pStyle w:val="TableContents"/>
              <w:bidi w:val="0"/>
              <w:spacing w:before="0" w:after="0"/>
              <w:ind w:left="0" w:right="0" w:hanging="0"/>
              <w:jc w:val="center"/>
              <w:rPr>
                <w:color w:val="FFFFFF"/>
              </w:rPr>
            </w:pPr>
            <w:r>
              <w:rPr>
                <w:color w:val="FFFFFF"/>
              </w:rPr>
              <w:t>​</w:t>
            </w:r>
          </w:p>
        </w:tc>
      </w:tr>
      <w:tr>
        <w:trPr/>
        <w:tc>
          <w:tcPr>
            <w:tcW w:w="9171" w:type="dxa"/>
            <w:gridSpan w:val="7"/>
            <w:tcBorders/>
            <w:vAlign w:val="center"/>
          </w:tcPr>
          <w:p>
            <w:pPr>
              <w:pStyle w:val="TableContents"/>
              <w:bidi w:val="0"/>
              <w:spacing w:before="40" w:after="0"/>
              <w:ind w:left="0" w:right="0" w:hanging="0"/>
              <w:jc w:val="center"/>
              <w:rPr>
                <w:rFonts w:ascii="Arial;Helvetica;sans-serif" w:hAnsi="Arial;Helvetica;sans-serif"/>
                <w:b/>
                <w:sz w:val="18"/>
              </w:rPr>
            </w:pPr>
            <w:r>
              <w:rPr>
                <w:rFonts w:ascii="Arial;Helvetica;sans-serif" w:hAnsi="Arial;Helvetica;sans-serif"/>
                <w:b/>
                <w:sz w:val="18"/>
              </w:rPr>
              <w:t>2024 PSU payable August 2026</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table below presents the Adjusted ROIC goals for the 2025 PSUs for Fiscal 2026 (which was the second year of the 2025 PSUs) and Adjusted EBITDA Margin three-year average goals. Any fiscal year performance below threshold ROIC results in no payment for that fiscal year’s tranche; any EBITDA Margin three-year average performance below threshold results in no payment for the three-year period.</w:t>
      </w:r>
    </w:p>
    <w:tbl>
      <w:tblPr>
        <w:tblW w:w="9171" w:type="dxa"/>
        <w:jc w:val="left"/>
        <w:tblInd w:w="0" w:type="dxa"/>
        <w:tblLayout w:type="fixed"/>
        <w:tblCellMar>
          <w:top w:w="0" w:type="dxa"/>
          <w:left w:w="0" w:type="dxa"/>
          <w:bottom w:w="0" w:type="dxa"/>
          <w:right w:w="0" w:type="dxa"/>
        </w:tblCellMar>
      </w:tblPr>
      <w:tblGrid>
        <w:gridCol w:w="1321"/>
        <w:gridCol w:w="1261"/>
        <w:gridCol w:w="1201"/>
        <w:gridCol w:w="109"/>
        <w:gridCol w:w="1787"/>
        <w:gridCol w:w="1787"/>
        <w:gridCol w:w="1705"/>
      </w:tblGrid>
      <w:tr>
        <w:trPr/>
        <w:tc>
          <w:tcPr>
            <w:tcW w:w="132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05" w:type="dxa"/>
            <w:tcBorders/>
            <w:vAlign w:val="center"/>
          </w:tcPr>
          <w:p>
            <w:pPr>
              <w:pStyle w:val="TableContents"/>
              <w:bidi w:val="0"/>
              <w:spacing w:before="0" w:after="0"/>
              <w:ind w:left="0" w:right="0" w:hanging="0"/>
              <w:jc w:val="left"/>
              <w:rPr/>
            </w:pPr>
            <w:r>
              <w:rPr/>
              <w:t>​</w:t>
            </w:r>
          </w:p>
        </w:tc>
      </w:tr>
      <w:tr>
        <w:trPr/>
        <w:tc>
          <w:tcPr>
            <w:tcW w:w="3783" w:type="dxa"/>
            <w:gridSpan w:val="3"/>
            <w:tcBorders>
              <w:left w:val="single" w:sz="12" w:space="0" w:color="FDF1B5"/>
            </w:tcBorders>
            <w:tcMar>
              <w:lef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ROIC Performance Level</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left"/>
              <w:rPr/>
            </w:pPr>
            <w:r>
              <w:rPr/>
              <w:t>​</w:t>
            </w:r>
          </w:p>
        </w:tc>
        <w:tc>
          <w:tcPr>
            <w:tcW w:w="5279" w:type="dxa"/>
            <w:gridSpan w:val="3"/>
            <w:tcBorders>
              <w:left w:val="single" w:sz="12" w:space="0" w:color="FDF1B5"/>
            </w:tcBorders>
            <w:tcMar>
              <w:lef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EBITDA Margin 3-year Average Goals (FY25-FY27)</w:t>
            </w:r>
          </w:p>
        </w:tc>
      </w:tr>
      <w:tr>
        <w:trPr/>
        <w:tc>
          <w:tcPr>
            <w:tcW w:w="1321" w:type="dxa"/>
            <w:tcBorders>
              <w:left w:val="single" w:sz="12" w:space="0" w:color="FDF1B5"/>
            </w:tcBorders>
            <w:tcMar>
              <w:left w:w="28" w:type="dxa"/>
            </w:tcMar>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left"/>
              <w:rPr/>
            </w:pPr>
            <w:r>
              <w:rPr/>
              <w:t>​</w:t>
            </w:r>
          </w:p>
        </w:tc>
        <w:tc>
          <w:tcPr>
            <w:tcW w:w="1787" w:type="dxa"/>
            <w:tcBorders>
              <w:left w:val="single" w:sz="12" w:space="0" w:color="FDF1B5"/>
            </w:tcBorders>
            <w:tcMar>
              <w:left w:w="28" w:type="dxa"/>
            </w:tcMar>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05" w:type="dxa"/>
            <w:tcBorders/>
            <w:vAlign w:val="center"/>
          </w:tcPr>
          <w:p>
            <w:pPr>
              <w:pStyle w:val="TableContents"/>
              <w:bidi w:val="0"/>
              <w:spacing w:before="0" w:after="0"/>
              <w:ind w:left="0" w:right="0" w:hanging="0"/>
              <w:jc w:val="left"/>
              <w:rPr/>
            </w:pPr>
            <w:r>
              <w:rPr/>
              <w:t>​</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Maximum</w:t>
            </w:r>
          </w:p>
        </w:tc>
        <w:tc>
          <w:tcPr>
            <w:tcW w:w="1261" w:type="dxa"/>
            <w:tcBorders/>
            <w:shd w:fill="FFCF03" w:val="clear"/>
            <w:vAlign w:val="center"/>
          </w:tcPr>
          <w:p>
            <w:pPr>
              <w:pStyle w:val="TableContents"/>
              <w:bidi w:val="0"/>
              <w:spacing w:before="0" w:after="20"/>
              <w:ind w:left="0" w:right="0" w:hanging="0"/>
              <w:jc w:val="center"/>
              <w:rPr>
                <w:rFonts w:ascii="Arial;Helvetica;sans-serif" w:hAnsi="Arial;Helvetica;sans-serif"/>
                <w:sz w:val="18"/>
              </w:rPr>
            </w:pPr>
            <w:r>
              <w:rPr>
                <w:rFonts w:ascii="Arial;Helvetica;sans-serif" w:hAnsi="Arial;Helvetica;sans-serif"/>
                <w:sz w:val="18"/>
              </w:rPr>
              <w:t>Target</w:t>
            </w:r>
          </w:p>
        </w:tc>
        <w:tc>
          <w:tcPr>
            <w:tcW w:w="1201" w:type="dxa"/>
            <w:tcBorders/>
            <w:shd w:fill="949599" w:val="cle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Threshold</w:t>
            </w:r>
          </w:p>
        </w:tc>
        <w:tc>
          <w:tcPr>
            <w:tcW w:w="109" w:type="dxa"/>
            <w:tcBorders>
              <w:right w:val="single" w:sz="12" w:space="0" w:color="FDF1B5"/>
            </w:tcBorders>
            <w:tcMar>
              <w:right w:w="28" w:type="dxa"/>
            </w:tcMar>
            <w:vAlign w:val="center"/>
          </w:tcPr>
          <w:p>
            <w:pPr>
              <w:pStyle w:val="TableContents"/>
              <w:bidi w:val="0"/>
              <w:spacing w:before="0" w:after="2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Maximum</w:t>
            </w:r>
          </w:p>
        </w:tc>
        <w:tc>
          <w:tcPr>
            <w:tcW w:w="1787" w:type="dxa"/>
            <w:tcBorders/>
            <w:shd w:fill="FFCF03" w:val="clear"/>
            <w:vAlign w:val="center"/>
          </w:tcPr>
          <w:p>
            <w:pPr>
              <w:pStyle w:val="TableContents"/>
              <w:bidi w:val="0"/>
              <w:spacing w:before="0" w:after="20"/>
              <w:ind w:left="0" w:right="0" w:hanging="0"/>
              <w:jc w:val="center"/>
              <w:rPr>
                <w:rFonts w:ascii="Arial;Helvetica;sans-serif" w:hAnsi="Arial;Helvetica;sans-serif"/>
                <w:sz w:val="18"/>
              </w:rPr>
            </w:pPr>
            <w:r>
              <w:rPr>
                <w:rFonts w:ascii="Arial;Helvetica;sans-serif" w:hAnsi="Arial;Helvetica;sans-serif"/>
                <w:sz w:val="18"/>
              </w:rPr>
              <w:t>Target</w:t>
            </w:r>
          </w:p>
        </w:tc>
        <w:tc>
          <w:tcPr>
            <w:tcW w:w="1705" w:type="dxa"/>
            <w:tcBorders/>
            <w:shd w:fill="949599" w:val="cle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Threshold</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10.0%</w:t>
            </w:r>
          </w:p>
        </w:tc>
        <w:tc>
          <w:tcPr>
            <w:tcW w:w="1261" w:type="dxa"/>
            <w:tcBorders/>
            <w:shd w:fill="FFCF03" w:val="clear"/>
            <w:vAlign w:val="center"/>
          </w:tcPr>
          <w:p>
            <w:pPr>
              <w:pStyle w:val="TableContents"/>
              <w:bidi w:val="0"/>
              <w:spacing w:before="0" w:after="20"/>
              <w:ind w:left="0" w:right="0" w:hanging="0"/>
              <w:jc w:val="center"/>
              <w:rPr>
                <w:rFonts w:ascii="Arial;Helvetica;sans-serif" w:hAnsi="Arial;Helvetica;sans-serif"/>
                <w:b/>
                <w:sz w:val="18"/>
              </w:rPr>
            </w:pPr>
            <w:r>
              <w:rPr>
                <w:rFonts w:ascii="Arial;Helvetica;sans-serif" w:hAnsi="Arial;Helvetica;sans-serif"/>
                <w:b/>
                <w:sz w:val="18"/>
              </w:rPr>
              <w:t>6.9%</w:t>
            </w:r>
          </w:p>
        </w:tc>
        <w:tc>
          <w:tcPr>
            <w:tcW w:w="1201" w:type="dxa"/>
            <w:tcBorders/>
            <w:shd w:fill="949599" w:val="cle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3.8%</w:t>
            </w:r>
          </w:p>
        </w:tc>
        <w:tc>
          <w:tcPr>
            <w:tcW w:w="109" w:type="dxa"/>
            <w:tcBorders>
              <w:right w:val="single" w:sz="12" w:space="0" w:color="FDF1B5"/>
            </w:tcBorders>
            <w:tcMar>
              <w:right w:w="28" w:type="dxa"/>
            </w:tcMar>
            <w:vAlign w:val="center"/>
          </w:tcPr>
          <w:p>
            <w:pPr>
              <w:pStyle w:val="TableContents"/>
              <w:bidi w:val="0"/>
              <w:spacing w:before="0" w:after="2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20.2%</w:t>
            </w:r>
          </w:p>
        </w:tc>
        <w:tc>
          <w:tcPr>
            <w:tcW w:w="1787" w:type="dxa"/>
            <w:tcBorders/>
            <w:shd w:fill="FFCF03" w:val="clear"/>
            <w:vAlign w:val="center"/>
          </w:tcPr>
          <w:p>
            <w:pPr>
              <w:pStyle w:val="TableContents"/>
              <w:bidi w:val="0"/>
              <w:spacing w:before="0" w:after="20"/>
              <w:ind w:left="0" w:right="0" w:hanging="0"/>
              <w:jc w:val="center"/>
              <w:rPr>
                <w:rFonts w:ascii="Arial;Helvetica;sans-serif" w:hAnsi="Arial;Helvetica;sans-serif"/>
                <w:b/>
                <w:sz w:val="18"/>
              </w:rPr>
            </w:pPr>
            <w:r>
              <w:rPr>
                <w:rFonts w:ascii="Arial;Helvetica;sans-serif" w:hAnsi="Arial;Helvetica;sans-serif"/>
                <w:b/>
                <w:sz w:val="18"/>
              </w:rPr>
              <w:t>16.8%</w:t>
            </w:r>
          </w:p>
        </w:tc>
        <w:tc>
          <w:tcPr>
            <w:tcW w:w="1705" w:type="dxa"/>
            <w:tcBorders/>
            <w:shd w:fill="949599" w:val="cle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14.3%</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(200% payout)</w:t>
            </w:r>
          </w:p>
        </w:tc>
        <w:tc>
          <w:tcPr>
            <w:tcW w:w="1261" w:type="dxa"/>
            <w:tcBorders/>
            <w:shd w:fill="FFCF03"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(100%payout)</w:t>
            </w:r>
          </w:p>
        </w:tc>
        <w:tc>
          <w:tcPr>
            <w:tcW w:w="1201" w:type="dxa"/>
            <w:tcBorders/>
            <w:shd w:fill="949599" w:val="cle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(50% payout)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(200% payout)</w:t>
            </w:r>
          </w:p>
        </w:tc>
        <w:tc>
          <w:tcPr>
            <w:tcW w:w="1787" w:type="dxa"/>
            <w:tcBorders/>
            <w:shd w:fill="FFCF03"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(100% payout)</w:t>
            </w:r>
          </w:p>
        </w:tc>
        <w:tc>
          <w:tcPr>
            <w:tcW w:w="1705" w:type="dxa"/>
            <w:tcBorders/>
            <w:shd w:fill="949599" w:val="cle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(50% payout)</w:t>
            </w:r>
          </w:p>
        </w:tc>
      </w:tr>
      <w:tr>
        <w:trPr/>
        <w:tc>
          <w:tcPr>
            <w:tcW w:w="1321" w:type="dxa"/>
            <w:tcBorders>
              <w:left w:val="single" w:sz="12" w:space="0" w:color="FDF1B5"/>
              <w:bottom w:val="single" w:sz="12" w:space="0" w:color="FDF1B5"/>
            </w:tcBorders>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261" w:type="dxa"/>
            <w:tcBorders>
              <w:bottom w:val="single" w:sz="12" w:space="0" w:color="FDF1B5"/>
            </w:tcBorders>
            <w:tcMar>
              <w:bottom w:w="28" w:type="dxa"/>
            </w:tcMar>
            <w:vAlign w:val="center"/>
          </w:tcPr>
          <w:p>
            <w:pPr>
              <w:pStyle w:val="TableContents"/>
              <w:bidi w:val="0"/>
              <w:spacing w:before="0" w:after="0"/>
              <w:ind w:left="0" w:right="0" w:hanging="0"/>
              <w:jc w:val="center"/>
              <w:rPr/>
            </w:pPr>
            <w:r>
              <w:rPr/>
              <w:t>​</w:t>
            </w:r>
          </w:p>
        </w:tc>
        <w:tc>
          <w:tcPr>
            <w:tcW w:w="1201" w:type="dxa"/>
            <w:tcBorders>
              <w:bottom w:val="single" w:sz="12" w:space="0" w:color="FDF1B5"/>
            </w:tcBorders>
            <w:tcMar>
              <w:bottom w:w="28" w:type="dxa"/>
            </w:tcMar>
            <w:vAlign w:val="center"/>
          </w:tcPr>
          <w:p>
            <w:pPr>
              <w:pStyle w:val="TableContents"/>
              <w:bidi w:val="0"/>
              <w:spacing w:before="0" w:after="0"/>
              <w:ind w:left="0" w:right="0" w:hanging="0"/>
              <w:jc w:val="center"/>
              <w:rPr>
                <w:color w:val="FFFFFF"/>
              </w:rPr>
            </w:pPr>
            <w:r>
              <w:rPr>
                <w:color w:val="FFFFFF"/>
              </w:rPr>
              <w: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bottom w:val="single" w:sz="12" w:space="0" w:color="FDF1B5"/>
            </w:tcBorders>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787" w:type="dxa"/>
            <w:tcBorders>
              <w:bottom w:val="single" w:sz="12" w:space="0" w:color="FDF1B5"/>
            </w:tcBorders>
            <w:tcMar>
              <w:bottom w:w="28" w:type="dxa"/>
            </w:tcMar>
            <w:vAlign w:val="center"/>
          </w:tcPr>
          <w:p>
            <w:pPr>
              <w:pStyle w:val="TableContents"/>
              <w:bidi w:val="0"/>
              <w:spacing w:before="0" w:after="0"/>
              <w:ind w:left="0" w:right="0" w:hanging="0"/>
              <w:jc w:val="center"/>
              <w:rPr/>
            </w:pPr>
            <w:r>
              <w:rPr/>
              <w:t>​</w:t>
            </w:r>
          </w:p>
        </w:tc>
        <w:tc>
          <w:tcPr>
            <w:tcW w:w="1705" w:type="dxa"/>
            <w:tcBorders>
              <w:bottom w:val="single" w:sz="12" w:space="0" w:color="FDF1B5"/>
            </w:tcBorders>
            <w:tcMar>
              <w:bottom w:w="28" w:type="dxa"/>
            </w:tcMar>
            <w:vAlign w:val="center"/>
          </w:tcPr>
          <w:p>
            <w:pPr>
              <w:pStyle w:val="TableContents"/>
              <w:bidi w:val="0"/>
              <w:spacing w:before="0" w:after="0"/>
              <w:ind w:left="0" w:right="0" w:hanging="0"/>
              <w:jc w:val="center"/>
              <w:rPr>
                <w:color w:val="FFFFFF"/>
              </w:rPr>
            </w:pPr>
            <w:r>
              <w:rPr>
                <w:color w:val="FFFFFF"/>
              </w:rPr>
              <w:t>​</w:t>
            </w:r>
          </w:p>
        </w:tc>
      </w:tr>
      <w:tr>
        <w:trPr/>
        <w:tc>
          <w:tcPr>
            <w:tcW w:w="9171" w:type="dxa"/>
            <w:gridSpan w:val="7"/>
            <w:tcBorders/>
            <w:vAlign w:val="center"/>
          </w:tcPr>
          <w:p>
            <w:pPr>
              <w:pStyle w:val="TableContents"/>
              <w:bidi w:val="0"/>
              <w:spacing w:before="40" w:after="0"/>
              <w:ind w:left="0" w:right="0" w:hanging="0"/>
              <w:jc w:val="center"/>
              <w:rPr>
                <w:rFonts w:ascii="Arial;Helvetica;sans-serif" w:hAnsi="Arial;Helvetica;sans-serif"/>
                <w:b/>
                <w:sz w:val="18"/>
              </w:rPr>
            </w:pPr>
            <w:r>
              <w:rPr>
                <w:rFonts w:ascii="Arial;Helvetica;sans-serif" w:hAnsi="Arial;Helvetica;sans-serif"/>
                <w:b/>
                <w:sz w:val="18"/>
              </w:rPr>
              <w:t>2025 PSU payable August 2027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table below presents the Adjusted ROIC goals for the 2026 PSUs for Fiscal 2026 (which was the first year of the 2026 PSUs) and Adjusted EBITDA Margin three-year average goals. Any fiscal year performance below threshold ROIC results in no payment for that fiscal year’s tranche; any EBITDA Margin three-year average performance below threshold results in no payment for the three-year period.</w:t>
      </w:r>
    </w:p>
    <w:tbl>
      <w:tblPr>
        <w:tblW w:w="9171" w:type="dxa"/>
        <w:jc w:val="left"/>
        <w:tblInd w:w="0" w:type="dxa"/>
        <w:tblLayout w:type="fixed"/>
        <w:tblCellMar>
          <w:top w:w="0" w:type="dxa"/>
          <w:left w:w="0" w:type="dxa"/>
          <w:bottom w:w="0" w:type="dxa"/>
          <w:right w:w="0" w:type="dxa"/>
        </w:tblCellMar>
      </w:tblPr>
      <w:tblGrid>
        <w:gridCol w:w="1321"/>
        <w:gridCol w:w="1261"/>
        <w:gridCol w:w="1201"/>
        <w:gridCol w:w="109"/>
        <w:gridCol w:w="1787"/>
        <w:gridCol w:w="1787"/>
        <w:gridCol w:w="1705"/>
      </w:tblGrid>
      <w:tr>
        <w:trPr/>
        <w:tc>
          <w:tcPr>
            <w:tcW w:w="132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05" w:type="dxa"/>
            <w:tcBorders/>
            <w:vAlign w:val="center"/>
          </w:tcPr>
          <w:p>
            <w:pPr>
              <w:pStyle w:val="TableContents"/>
              <w:bidi w:val="0"/>
              <w:spacing w:before="0" w:after="0"/>
              <w:ind w:left="0" w:right="0" w:hanging="0"/>
              <w:jc w:val="left"/>
              <w:rPr/>
            </w:pPr>
            <w:r>
              <w:rPr/>
              <w:t>​</w:t>
            </w:r>
          </w:p>
        </w:tc>
      </w:tr>
      <w:tr>
        <w:trPr/>
        <w:tc>
          <w:tcPr>
            <w:tcW w:w="3783" w:type="dxa"/>
            <w:gridSpan w:val="3"/>
            <w:tcBorders>
              <w:left w:val="single" w:sz="12" w:space="0" w:color="FDF1B5"/>
            </w:tcBorders>
            <w:tcMar>
              <w:lef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ROIC Performance Level</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left"/>
              <w:rPr/>
            </w:pPr>
            <w:r>
              <w:rPr/>
              <w:t>​</w:t>
            </w:r>
          </w:p>
        </w:tc>
        <w:tc>
          <w:tcPr>
            <w:tcW w:w="5279" w:type="dxa"/>
            <w:gridSpan w:val="3"/>
            <w:tcBorders>
              <w:left w:val="single" w:sz="12" w:space="0" w:color="FDF1B5"/>
            </w:tcBorders>
            <w:tcMar>
              <w:lef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EBITDA Margin 3-year Average Goals (FY26-FY28)</w:t>
            </w:r>
          </w:p>
        </w:tc>
      </w:tr>
      <w:tr>
        <w:trPr/>
        <w:tc>
          <w:tcPr>
            <w:tcW w:w="1321" w:type="dxa"/>
            <w:tcBorders>
              <w:left w:val="single" w:sz="12" w:space="0" w:color="FDF1B5"/>
            </w:tcBorders>
            <w:tcMar>
              <w:left w:w="28" w:type="dxa"/>
            </w:tcMar>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left"/>
              <w:rPr/>
            </w:pPr>
            <w:r>
              <w:rPr/>
              <w:t>​</w:t>
            </w:r>
          </w:p>
        </w:tc>
        <w:tc>
          <w:tcPr>
            <w:tcW w:w="1787" w:type="dxa"/>
            <w:tcBorders>
              <w:left w:val="single" w:sz="12" w:space="0" w:color="FDF1B5"/>
            </w:tcBorders>
            <w:tcMar>
              <w:left w:w="28" w:type="dxa"/>
            </w:tcMar>
            <w:vAlign w:val="center"/>
          </w:tcPr>
          <w:p>
            <w:pPr>
              <w:pStyle w:val="TableContents"/>
              <w:bidi w:val="0"/>
              <w:spacing w:before="0" w:after="0"/>
              <w:ind w:left="0" w:right="0" w:hanging="0"/>
              <w:jc w:val="left"/>
              <w:rPr/>
            </w:pPr>
            <w:r>
              <w:rPr/>
              <w:t>​</w:t>
            </w:r>
          </w:p>
        </w:tc>
        <w:tc>
          <w:tcPr>
            <w:tcW w:w="1787" w:type="dxa"/>
            <w:tcBorders/>
            <w:vAlign w:val="center"/>
          </w:tcPr>
          <w:p>
            <w:pPr>
              <w:pStyle w:val="TableContents"/>
              <w:bidi w:val="0"/>
              <w:spacing w:before="0" w:after="0"/>
              <w:ind w:left="0" w:right="0" w:hanging="0"/>
              <w:jc w:val="left"/>
              <w:rPr/>
            </w:pPr>
            <w:r>
              <w:rPr/>
              <w:t>​</w:t>
            </w:r>
          </w:p>
        </w:tc>
        <w:tc>
          <w:tcPr>
            <w:tcW w:w="1705" w:type="dxa"/>
            <w:tcBorders/>
            <w:vAlign w:val="center"/>
          </w:tcPr>
          <w:p>
            <w:pPr>
              <w:pStyle w:val="TableContents"/>
              <w:bidi w:val="0"/>
              <w:spacing w:before="0" w:after="0"/>
              <w:ind w:left="0" w:right="0" w:hanging="0"/>
              <w:jc w:val="left"/>
              <w:rPr/>
            </w:pPr>
            <w:r>
              <w:rPr/>
              <w:t>​</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Maximum</w:t>
            </w:r>
          </w:p>
        </w:tc>
        <w:tc>
          <w:tcPr>
            <w:tcW w:w="1261" w:type="dxa"/>
            <w:tcBorders/>
            <w:shd w:fill="FFCF03" w:val="clear"/>
            <w:vAlign w:val="center"/>
          </w:tcPr>
          <w:p>
            <w:pPr>
              <w:pStyle w:val="TableContents"/>
              <w:bidi w:val="0"/>
              <w:spacing w:before="0" w:after="20"/>
              <w:ind w:left="0" w:right="0" w:hanging="0"/>
              <w:jc w:val="center"/>
              <w:rPr>
                <w:rFonts w:ascii="Arial;Helvetica;sans-serif" w:hAnsi="Arial;Helvetica;sans-serif"/>
                <w:sz w:val="18"/>
              </w:rPr>
            </w:pPr>
            <w:r>
              <w:rPr>
                <w:rFonts w:ascii="Arial;Helvetica;sans-serif" w:hAnsi="Arial;Helvetica;sans-serif"/>
                <w:sz w:val="18"/>
              </w:rPr>
              <w:t>Target</w:t>
            </w:r>
          </w:p>
        </w:tc>
        <w:tc>
          <w:tcPr>
            <w:tcW w:w="1201" w:type="dxa"/>
            <w:tcBorders/>
            <w:shd w:fill="949599" w:val="cle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Threshold</w:t>
            </w:r>
          </w:p>
        </w:tc>
        <w:tc>
          <w:tcPr>
            <w:tcW w:w="109" w:type="dxa"/>
            <w:tcBorders>
              <w:right w:val="single" w:sz="12" w:space="0" w:color="FDF1B5"/>
            </w:tcBorders>
            <w:tcMar>
              <w:right w:w="28" w:type="dxa"/>
            </w:tcMar>
            <w:vAlign w:val="center"/>
          </w:tcPr>
          <w:p>
            <w:pPr>
              <w:pStyle w:val="TableContents"/>
              <w:bidi w:val="0"/>
              <w:spacing w:before="0" w:after="2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Maximum</w:t>
            </w:r>
          </w:p>
        </w:tc>
        <w:tc>
          <w:tcPr>
            <w:tcW w:w="1787" w:type="dxa"/>
            <w:tcBorders/>
            <w:shd w:fill="FFCF03" w:val="clear"/>
            <w:vAlign w:val="center"/>
          </w:tcPr>
          <w:p>
            <w:pPr>
              <w:pStyle w:val="TableContents"/>
              <w:bidi w:val="0"/>
              <w:spacing w:before="0" w:after="20"/>
              <w:ind w:left="0" w:right="0" w:hanging="0"/>
              <w:jc w:val="center"/>
              <w:rPr>
                <w:rFonts w:ascii="Arial;Helvetica;sans-serif" w:hAnsi="Arial;Helvetica;sans-serif"/>
                <w:sz w:val="18"/>
              </w:rPr>
            </w:pPr>
            <w:r>
              <w:rPr>
                <w:rFonts w:ascii="Arial;Helvetica;sans-serif" w:hAnsi="Arial;Helvetica;sans-serif"/>
                <w:sz w:val="18"/>
              </w:rPr>
              <w:t>Target</w:t>
            </w:r>
          </w:p>
        </w:tc>
        <w:tc>
          <w:tcPr>
            <w:tcW w:w="1705" w:type="dxa"/>
            <w:tcBorders/>
            <w:shd w:fill="949599" w:val="clear"/>
            <w:vAlign w:val="center"/>
          </w:tcPr>
          <w:p>
            <w:pPr>
              <w:pStyle w:val="TableContents"/>
              <w:bidi w:val="0"/>
              <w:spacing w:before="0" w:after="20"/>
              <w:ind w:left="0" w:right="0" w:hanging="0"/>
              <w:jc w:val="center"/>
              <w:rPr>
                <w:rFonts w:ascii="Arial;Helvetica;sans-serif" w:hAnsi="Arial;Helvetica;sans-serif"/>
                <w:color w:val="FFFFFF"/>
                <w:sz w:val="18"/>
              </w:rPr>
            </w:pPr>
            <w:r>
              <w:rPr>
                <w:rFonts w:ascii="Arial;Helvetica;sans-serif" w:hAnsi="Arial;Helvetica;sans-serif"/>
                <w:color w:val="FFFFFF"/>
                <w:sz w:val="18"/>
              </w:rPr>
              <w:t>Threshold</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10.0%</w:t>
            </w:r>
          </w:p>
        </w:tc>
        <w:tc>
          <w:tcPr>
            <w:tcW w:w="1261" w:type="dxa"/>
            <w:tcBorders/>
            <w:shd w:fill="FFCF03" w:val="clear"/>
            <w:vAlign w:val="center"/>
          </w:tcPr>
          <w:p>
            <w:pPr>
              <w:pStyle w:val="TableContents"/>
              <w:bidi w:val="0"/>
              <w:spacing w:before="0" w:after="20"/>
              <w:ind w:left="0" w:right="0" w:hanging="0"/>
              <w:jc w:val="center"/>
              <w:rPr>
                <w:rFonts w:ascii="Arial;Helvetica;sans-serif" w:hAnsi="Arial;Helvetica;sans-serif"/>
                <w:b/>
                <w:sz w:val="18"/>
              </w:rPr>
            </w:pPr>
            <w:r>
              <w:rPr>
                <w:rFonts w:ascii="Arial;Helvetica;sans-serif" w:hAnsi="Arial;Helvetica;sans-serif"/>
                <w:b/>
                <w:sz w:val="18"/>
              </w:rPr>
              <w:t>6.9%</w:t>
            </w:r>
          </w:p>
        </w:tc>
        <w:tc>
          <w:tcPr>
            <w:tcW w:w="1201" w:type="dxa"/>
            <w:tcBorders/>
            <w:shd w:fill="949599" w:val="cle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3.8%</w:t>
            </w:r>
          </w:p>
        </w:tc>
        <w:tc>
          <w:tcPr>
            <w:tcW w:w="109" w:type="dxa"/>
            <w:tcBorders>
              <w:right w:val="single" w:sz="12" w:space="0" w:color="FDF1B5"/>
            </w:tcBorders>
            <w:tcMar>
              <w:right w:w="28" w:type="dxa"/>
            </w:tcMar>
            <w:vAlign w:val="center"/>
          </w:tcPr>
          <w:p>
            <w:pPr>
              <w:pStyle w:val="TableContents"/>
              <w:bidi w:val="0"/>
              <w:spacing w:before="0" w:after="2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20.2%</w:t>
            </w:r>
          </w:p>
        </w:tc>
        <w:tc>
          <w:tcPr>
            <w:tcW w:w="1787" w:type="dxa"/>
            <w:tcBorders/>
            <w:shd w:fill="FFCF03" w:val="clear"/>
            <w:vAlign w:val="center"/>
          </w:tcPr>
          <w:p>
            <w:pPr>
              <w:pStyle w:val="TableContents"/>
              <w:bidi w:val="0"/>
              <w:spacing w:before="0" w:after="20"/>
              <w:ind w:left="0" w:right="0" w:hanging="0"/>
              <w:jc w:val="center"/>
              <w:rPr>
                <w:rFonts w:ascii="Arial;Helvetica;sans-serif" w:hAnsi="Arial;Helvetica;sans-serif"/>
                <w:b/>
                <w:sz w:val="18"/>
              </w:rPr>
            </w:pPr>
            <w:r>
              <w:rPr>
                <w:rFonts w:ascii="Arial;Helvetica;sans-serif" w:hAnsi="Arial;Helvetica;sans-serif"/>
                <w:b/>
                <w:sz w:val="18"/>
              </w:rPr>
              <w:t>16.8%</w:t>
            </w:r>
          </w:p>
        </w:tc>
        <w:tc>
          <w:tcPr>
            <w:tcW w:w="1705" w:type="dxa"/>
            <w:tcBorders/>
            <w:shd w:fill="949599" w:val="clear"/>
            <w:vAlign w:val="center"/>
          </w:tcPr>
          <w:p>
            <w:pPr>
              <w:pStyle w:val="TableContents"/>
              <w:bidi w:val="0"/>
              <w:spacing w:before="0" w:after="20"/>
              <w:ind w:left="0" w:right="0" w:hanging="0"/>
              <w:jc w:val="center"/>
              <w:rPr>
                <w:rFonts w:ascii="Arial;Helvetica;sans-serif" w:hAnsi="Arial;Helvetica;sans-serif"/>
                <w:b/>
                <w:color w:val="FFFFFF"/>
                <w:sz w:val="18"/>
              </w:rPr>
            </w:pPr>
            <w:r>
              <w:rPr>
                <w:rFonts w:ascii="Arial;Helvetica;sans-serif" w:hAnsi="Arial;Helvetica;sans-serif"/>
                <w:b/>
                <w:color w:val="FFFFFF"/>
                <w:sz w:val="18"/>
              </w:rPr>
              <w:t>14.3%</w:t>
            </w:r>
          </w:p>
        </w:tc>
      </w:tr>
      <w:tr>
        <w:trPr/>
        <w:tc>
          <w:tcPr>
            <w:tcW w:w="1321" w:type="dxa"/>
            <w:tcBorders>
              <w:left w:val="single" w:sz="12" w:space="0" w:color="FDF1B5"/>
            </w:tcBorders>
            <w:shd w:fill="646368" w:val="clear"/>
            <w:tcMar>
              <w:left w:w="28" w:type="dxa"/>
            </w:tcM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(200% payout)</w:t>
            </w:r>
          </w:p>
        </w:tc>
        <w:tc>
          <w:tcPr>
            <w:tcW w:w="1261" w:type="dxa"/>
            <w:tcBorders/>
            <w:shd w:fill="FFCF03"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(100%payout)</w:t>
            </w:r>
          </w:p>
        </w:tc>
        <w:tc>
          <w:tcPr>
            <w:tcW w:w="1201" w:type="dxa"/>
            <w:tcBorders/>
            <w:shd w:fill="949599" w:val="cle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(50% payout)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tcBorders>
            <w:shd w:fill="646368" w:val="clear"/>
            <w:tcMar>
              <w:left w:w="28" w:type="dxa"/>
            </w:tcM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(200% payout)</w:t>
            </w:r>
          </w:p>
        </w:tc>
        <w:tc>
          <w:tcPr>
            <w:tcW w:w="1787" w:type="dxa"/>
            <w:tcBorders/>
            <w:shd w:fill="FFCF03"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(100% payout)</w:t>
            </w:r>
          </w:p>
        </w:tc>
        <w:tc>
          <w:tcPr>
            <w:tcW w:w="1705" w:type="dxa"/>
            <w:tcBorders/>
            <w:shd w:fill="949599" w:val="clear"/>
            <w:vAlign w:val="center"/>
          </w:tcPr>
          <w:p>
            <w:pPr>
              <w:pStyle w:val="TableContents"/>
              <w:bidi w:val="0"/>
              <w:spacing w:before="0" w:after="0"/>
              <w:ind w:left="0" w:right="0" w:hanging="0"/>
              <w:jc w:val="center"/>
              <w:rPr>
                <w:rFonts w:ascii="Arial;Helvetica;sans-serif" w:hAnsi="Arial;Helvetica;sans-serif"/>
                <w:color w:val="FFFFFF"/>
                <w:sz w:val="18"/>
              </w:rPr>
            </w:pPr>
            <w:r>
              <w:rPr>
                <w:rFonts w:ascii="Arial;Helvetica;sans-serif" w:hAnsi="Arial;Helvetica;sans-serif"/>
                <w:color w:val="FFFFFF"/>
                <w:sz w:val="18"/>
              </w:rPr>
              <w:t>(50% payout)</w:t>
            </w:r>
          </w:p>
        </w:tc>
      </w:tr>
      <w:tr>
        <w:trPr/>
        <w:tc>
          <w:tcPr>
            <w:tcW w:w="1321" w:type="dxa"/>
            <w:tcBorders>
              <w:left w:val="single" w:sz="12" w:space="0" w:color="FDF1B5"/>
              <w:bottom w:val="single" w:sz="12" w:space="0" w:color="FDF1B5"/>
            </w:tcBorders>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261" w:type="dxa"/>
            <w:tcBorders>
              <w:bottom w:val="single" w:sz="12" w:space="0" w:color="FDF1B5"/>
            </w:tcBorders>
            <w:tcMar>
              <w:bottom w:w="28" w:type="dxa"/>
            </w:tcMar>
            <w:vAlign w:val="center"/>
          </w:tcPr>
          <w:p>
            <w:pPr>
              <w:pStyle w:val="TableContents"/>
              <w:bidi w:val="0"/>
              <w:spacing w:before="0" w:after="0"/>
              <w:ind w:left="0" w:right="0" w:hanging="0"/>
              <w:jc w:val="center"/>
              <w:rPr/>
            </w:pPr>
            <w:r>
              <w:rPr/>
              <w:t>​</w:t>
            </w:r>
          </w:p>
        </w:tc>
        <w:tc>
          <w:tcPr>
            <w:tcW w:w="1201" w:type="dxa"/>
            <w:tcBorders>
              <w:bottom w:val="single" w:sz="12" w:space="0" w:color="FDF1B5"/>
            </w:tcBorders>
            <w:tcMar>
              <w:bottom w:w="28" w:type="dxa"/>
            </w:tcMar>
            <w:vAlign w:val="center"/>
          </w:tcPr>
          <w:p>
            <w:pPr>
              <w:pStyle w:val="TableContents"/>
              <w:bidi w:val="0"/>
              <w:spacing w:before="0" w:after="0"/>
              <w:ind w:left="0" w:right="0" w:hanging="0"/>
              <w:jc w:val="center"/>
              <w:rPr>
                <w:color w:val="FFFFFF"/>
              </w:rPr>
            </w:pPr>
            <w:r>
              <w:rPr>
                <w:color w:val="FFFFFF"/>
              </w:rPr>
              <w:t>​</w:t>
            </w:r>
          </w:p>
        </w:tc>
        <w:tc>
          <w:tcPr>
            <w:tcW w:w="109" w:type="dxa"/>
            <w:tcBorders>
              <w:right w:val="single" w:sz="12" w:space="0" w:color="FDF1B5"/>
            </w:tcBorders>
            <w:tcMar>
              <w:right w:w="28" w:type="dxa"/>
            </w:tcMar>
            <w:vAlign w:val="center"/>
          </w:tcPr>
          <w:p>
            <w:pPr>
              <w:pStyle w:val="TableContents"/>
              <w:bidi w:val="0"/>
              <w:spacing w:before="0" w:after="0"/>
              <w:ind w:left="0" w:right="0" w:hanging="0"/>
              <w:jc w:val="center"/>
              <w:rPr/>
            </w:pPr>
            <w:r>
              <w:rPr/>
              <w:t>​</w:t>
            </w:r>
          </w:p>
        </w:tc>
        <w:tc>
          <w:tcPr>
            <w:tcW w:w="1787" w:type="dxa"/>
            <w:tcBorders>
              <w:left w:val="single" w:sz="12" w:space="0" w:color="FDF1B5"/>
              <w:bottom w:val="single" w:sz="12" w:space="0" w:color="FDF1B5"/>
            </w:tcBorders>
            <w:tcMar>
              <w:left w:w="28" w:type="dxa"/>
              <w:bottom w:w="28" w:type="dxa"/>
            </w:tcMar>
            <w:vAlign w:val="center"/>
          </w:tcPr>
          <w:p>
            <w:pPr>
              <w:pStyle w:val="TableContents"/>
              <w:bidi w:val="0"/>
              <w:spacing w:before="0" w:after="0"/>
              <w:ind w:left="0" w:right="0" w:hanging="0"/>
              <w:jc w:val="center"/>
              <w:rPr>
                <w:color w:val="FFFFFF"/>
              </w:rPr>
            </w:pPr>
            <w:r>
              <w:rPr>
                <w:color w:val="FFFFFF"/>
              </w:rPr>
              <w:t>​</w:t>
            </w:r>
          </w:p>
        </w:tc>
        <w:tc>
          <w:tcPr>
            <w:tcW w:w="1787" w:type="dxa"/>
            <w:tcBorders>
              <w:bottom w:val="single" w:sz="12" w:space="0" w:color="FDF1B5"/>
            </w:tcBorders>
            <w:tcMar>
              <w:bottom w:w="28" w:type="dxa"/>
            </w:tcMar>
            <w:vAlign w:val="center"/>
          </w:tcPr>
          <w:p>
            <w:pPr>
              <w:pStyle w:val="TableContents"/>
              <w:bidi w:val="0"/>
              <w:spacing w:before="0" w:after="0"/>
              <w:ind w:left="0" w:right="0" w:hanging="0"/>
              <w:jc w:val="center"/>
              <w:rPr/>
            </w:pPr>
            <w:r>
              <w:rPr/>
              <w:t>​</w:t>
            </w:r>
          </w:p>
        </w:tc>
        <w:tc>
          <w:tcPr>
            <w:tcW w:w="1705" w:type="dxa"/>
            <w:tcBorders>
              <w:bottom w:val="single" w:sz="12" w:space="0" w:color="FDF1B5"/>
            </w:tcBorders>
            <w:tcMar>
              <w:bottom w:w="28" w:type="dxa"/>
            </w:tcMar>
            <w:vAlign w:val="center"/>
          </w:tcPr>
          <w:p>
            <w:pPr>
              <w:pStyle w:val="TableContents"/>
              <w:bidi w:val="0"/>
              <w:spacing w:before="0" w:after="0"/>
              <w:ind w:left="0" w:right="0" w:hanging="0"/>
              <w:jc w:val="center"/>
              <w:rPr>
                <w:color w:val="FFFFFF"/>
              </w:rPr>
            </w:pPr>
            <w:r>
              <w:rPr>
                <w:color w:val="FFFFFF"/>
              </w:rPr>
              <w:t>​</w:t>
            </w:r>
          </w:p>
        </w:tc>
      </w:tr>
      <w:tr>
        <w:trPr/>
        <w:tc>
          <w:tcPr>
            <w:tcW w:w="9171" w:type="dxa"/>
            <w:gridSpan w:val="7"/>
            <w:tcBorders/>
            <w:vAlign w:val="center"/>
          </w:tcPr>
          <w:p>
            <w:pPr>
              <w:pStyle w:val="TableContents"/>
              <w:bidi w:val="0"/>
              <w:spacing w:before="40" w:after="0"/>
              <w:ind w:left="0" w:right="0" w:hanging="0"/>
              <w:jc w:val="center"/>
              <w:rPr>
                <w:rFonts w:ascii="Arial;Helvetica;sans-serif" w:hAnsi="Arial;Helvetica;sans-serif"/>
                <w:b/>
                <w:sz w:val="18"/>
              </w:rPr>
            </w:pPr>
            <w:r>
              <w:rPr>
                <w:rFonts w:ascii="Arial;Helvetica;sans-serif" w:hAnsi="Arial;Helvetica;sans-serif"/>
                <w:b/>
                <w:sz w:val="18"/>
              </w:rPr>
              <w:t>2026 PSU payable August 2028</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PSUs Earned for Fiscal 2026.</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At its July 2026 meeting, the Committee certified Fiscal 2026 Adjusted ROIC performance of 18.8%. This performance resulted in the following payout multiple (subject to continued service) for outstanding PSUs as follows:</w:t>
      </w:r>
    </w:p>
    <w:tbl>
      <w:tblPr>
        <w:tblW w:w="7132" w:type="dxa"/>
        <w:jc w:val="left"/>
        <w:tblInd w:w="0" w:type="dxa"/>
        <w:tblLayout w:type="fixed"/>
        <w:tblCellMar>
          <w:top w:w="0" w:type="dxa"/>
          <w:left w:w="0" w:type="dxa"/>
          <w:bottom w:w="0" w:type="dxa"/>
          <w:right w:w="0" w:type="dxa"/>
        </w:tblCellMar>
      </w:tblPr>
      <w:tblGrid>
        <w:gridCol w:w="1111"/>
        <w:gridCol w:w="346"/>
        <w:gridCol w:w="751"/>
        <w:gridCol w:w="346"/>
        <w:gridCol w:w="2851"/>
        <w:gridCol w:w="346"/>
        <w:gridCol w:w="1381"/>
      </w:tblGrid>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r>
      <w:tr>
        <w:trPr/>
        <w:tc>
          <w:tcPr>
            <w:tcW w:w="1111"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PSU Award</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751"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Tranche</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2851"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18.8% Adjusted ROIC Performance</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381"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Payout Multiple</w:t>
            </w:r>
          </w:p>
        </w:tc>
      </w:tr>
      <w:tr>
        <w:trPr/>
        <w:tc>
          <w:tcPr>
            <w:tcW w:w="1111"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 PSUs</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pPr>
            <w:r>
              <w:rPr/>
              <w:t> </w:t>
            </w:r>
          </w:p>
        </w:tc>
        <w:tc>
          <w:tcPr>
            <w:tcW w:w="751"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 of 3</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center"/>
              <w:rPr/>
            </w:pPr>
            <w:r>
              <w:rPr/>
              <w:t> </w:t>
            </w:r>
          </w:p>
        </w:tc>
        <w:tc>
          <w:tcPr>
            <w:tcW w:w="2851"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Above maximum</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pPr>
            <w:r>
              <w:rPr/>
              <w:t> </w:t>
            </w:r>
          </w:p>
        </w:tc>
        <w:tc>
          <w:tcPr>
            <w:tcW w:w="1381"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 PSUs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 of 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center"/>
              <w:rPr/>
            </w:pPr>
            <w:r>
              <w:rPr/>
              <w:t> </w:t>
            </w:r>
          </w:p>
        </w:tc>
        <w:tc>
          <w:tcPr>
            <w:tcW w:w="285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Above maximum</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11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 PSUs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 of 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center"/>
              <w:rPr/>
            </w:pPr>
            <w:r>
              <w:rPr/>
              <w:t> </w:t>
            </w:r>
          </w:p>
        </w:tc>
        <w:tc>
          <w:tcPr>
            <w:tcW w:w="285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Above maximum</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bl>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52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3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03" descr=""/>
                    <pic:cNvPicPr>
                      <a:picLocks noChangeAspect="1" noChangeArrowheads="1"/>
                    </pic:cNvPicPr>
                  </pic:nvPicPr>
                  <pic:blipFill>
                    <a:blip r:embed="rId104"/>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also certified Fiscal 2024 through Fiscal 2026 Adjusted EBITDA Margin three-year average performance of 19.1%, which was above maximum, which achieved performance at a 200% payout multiple of target over the three-year performance period.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Overall, the 2024 PSUs vested as follows:</w:t>
      </w:r>
    </w:p>
    <w:tbl>
      <w:tblPr>
        <w:tblW w:w="10205" w:type="dxa"/>
        <w:jc w:val="left"/>
        <w:tblInd w:w="0" w:type="dxa"/>
        <w:tblLayout w:type="fixed"/>
        <w:tblCellMar>
          <w:top w:w="0" w:type="dxa"/>
          <w:left w:w="0" w:type="dxa"/>
          <w:bottom w:w="0" w:type="dxa"/>
          <w:right w:w="0" w:type="dxa"/>
        </w:tblCellMar>
      </w:tblPr>
      <w:tblGrid>
        <w:gridCol w:w="2791"/>
        <w:gridCol w:w="346"/>
        <w:gridCol w:w="1345"/>
        <w:gridCol w:w="346"/>
        <w:gridCol w:w="3649"/>
        <w:gridCol w:w="346"/>
        <w:gridCol w:w="1382"/>
      </w:tblGrid>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2" w:type="dxa"/>
            <w:tcBorders/>
            <w:vAlign w:val="center"/>
          </w:tcPr>
          <w:p>
            <w:pPr>
              <w:pStyle w:val="TableContents"/>
              <w:bidi w:val="0"/>
              <w:spacing w:before="0" w:after="0"/>
              <w:ind w:left="0" w:right="0" w:hanging="0"/>
              <w:jc w:val="left"/>
              <w:rPr/>
            </w:pPr>
            <w:r>
              <w:rPr/>
              <w:t>​</w:t>
            </w:r>
          </w:p>
        </w:tc>
      </w:tr>
      <w:tr>
        <w:trPr/>
        <w:tc>
          <w:tcPr>
            <w:tcW w:w="2791"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Adjusted ROIC Tranche (2/3 Weighting)</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345"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3649"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Actual Adjusted ROIC Performance</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382"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Payout Multiple</w:t>
            </w:r>
          </w:p>
        </w:tc>
      </w:tr>
      <w:tr>
        <w:trPr/>
        <w:tc>
          <w:tcPr>
            <w:tcW w:w="27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34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2024</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364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38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67.3%</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4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81.1%</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4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18.8%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6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82" w:type="dxa"/>
            <w:tcBorders/>
            <w:vAlign w:val="center"/>
          </w:tcPr>
          <w:p>
            <w:pPr>
              <w:pStyle w:val="TableContents"/>
              <w:bidi w:val="0"/>
              <w:spacing w:before="0" w:after="0"/>
              <w:ind w:left="0" w:right="0" w:hanging="0"/>
              <w:jc w:val="center"/>
              <w:rPr/>
            </w:pPr>
            <w:r>
              <w:rPr/>
              <w:t>​</w:t>
            </w:r>
          </w:p>
        </w:tc>
      </w:tr>
      <w:tr>
        <w:trPr/>
        <w:tc>
          <w:tcPr>
            <w:tcW w:w="2791"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Adjusted EBITDA Margin 3-Year Average (1/3 Weighting)</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345"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3649"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Actual Adjusted EBITDA Margin Average Performance</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382"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Payout Multiple</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 Tranche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2024 through 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4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19.1%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total number of PSUs that vested related to the 2024 PSUs was 144.1% of target (weighted 2/3 Adjusted ROIC and 1/3 Adjusted EBITDA Margin).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did not grant any Stock Option Awards in Fiscal 2026. </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Retirement Plans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maintain both qualified and non-qualified defined benefit and defined contribution retirement plans that are designed to work together to provide retirement pay to our executives. We provide certain pension and retirement benefits as part of our broader executive compensation program to attract and retain our executives.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Qualified Plans</w:t>
      </w:r>
      <w:r>
        <w:rPr>
          <w:rFonts w:ascii="Arial;Helvetica;sans-serif" w:hAnsi="Arial;Helvetica;sans-serif"/>
          <w:sz w:val="20"/>
        </w:rPr>
        <w:t xml:space="preserve">. We maintain a qualified retirement plan for U.S. employees, including our executive officers. The Thrift Plus Plan (“TPP”) is a defined contribution or “401(k)” plan in which all NEOs participate and is offered to encourage employees to save for their own retirement and future financial security.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Non-Qualified Plan</w:t>
      </w:r>
      <w:r>
        <w:rPr>
          <w:rFonts w:ascii="Arial;Helvetica;sans-serif" w:hAnsi="Arial;Helvetica;sans-serif"/>
          <w:sz w:val="20"/>
        </w:rPr>
        <w:t xml:space="preserve">. Our current NEOs may participate in the Kennametal Restoration Plan, which allows eligible NEOs to make pre-tax contributions on eligible compensation in excess of the Internal Revenue Code dollar limits applicable to the TPP.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For a description of this plan and our NEOs’ participation therein, see “2026 Nonqualified Deferred Compensation and Retirement Programs.” </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 xml:space="preserve">Executive Perquisites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Effective August 1, 2019, we eliminated the fixed perquisite allowance for all executives, and as of December 2015, the officer life insurance benefit was frozen to new participants. None of the current NEOs participate in the officer life insurance.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In Fiscal 2022, an annual executive physical program was approved by the Committee with the following goals: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provide executives with a comprehensive health and wellness examination that goes beyond the standard physical exams covered by most insurance programs (i.e., a program that contains advanced lab testing, imaging and screenings coupled with specialty consultations);</w:t>
            </w:r>
          </w:p>
        </w:tc>
      </w:tr>
    </w:tbl>
    <w:tbl>
      <w:tblPr>
        <w:tblW w:w="9707" w:type="dxa"/>
        <w:jc w:val="left"/>
        <w:tblInd w:w="0" w:type="dxa"/>
        <w:tblLayout w:type="fixed"/>
        <w:tblCellMar>
          <w:top w:w="0" w:type="dxa"/>
          <w:left w:w="0" w:type="dxa"/>
          <w:bottom w:w="0" w:type="dxa"/>
          <w:right w:w="0" w:type="dxa"/>
        </w:tblCellMar>
      </w:tblPr>
      <w:tblGrid>
        <w:gridCol w:w="271"/>
        <w:gridCol w:w="9436"/>
      </w:tblGrid>
      <w:tr>
        <w:trPr/>
        <w:tc>
          <w:tcPr>
            <w:tcW w:w="271" w:type="dxa"/>
            <w:tcBorders/>
            <w:vAlign w:val="center"/>
          </w:tcPr>
          <w:p>
            <w:pPr>
              <w:pStyle w:val="TableContents"/>
              <w:bidi w:val="0"/>
              <w:spacing w:before="0" w:after="283"/>
              <w:jc w:val="left"/>
              <w:rPr/>
            </w:pPr>
            <w:r>
              <w:rPr/>
              <w:t>●</w:t>
            </w:r>
          </w:p>
        </w:tc>
        <w:tc>
          <w:tcPr>
            <w:tcW w:w="94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be competitive with other companies regarding health benefits to retain and attract executive talent; and</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53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3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04" descr=""/>
                    <pic:cNvPicPr>
                      <a:picLocks noChangeAspect="1" noChangeArrowheads="1"/>
                    </pic:cNvPicPr>
                  </pic:nvPicPr>
                  <pic:blipFill>
                    <a:blip r:embed="rId105"/>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reduce the potential for a significant business disruption by preventing illness and treating significant illness in a timely manner among the Company’s executives.</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Executives are eligible to choose their own healthcare provider for their physicals, and the company will provide a sliding-scale taxable cash stipend (capped at $15,000) based on the cost of the physical for which the executive pays.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Personal benefits paid to our NEOs for 2026 are included in a supplemental table to the Summary Compensation Table as part of the footnotes to the Summary Compensation Table. Other than the personal benefits included therein, our executives receive the same benefits that are generally provided to other salaried employees, including eligibility to participate in group medical and dental plans, vision, long- and short-term disability, group life insurance, accidental death and dismemberment insurance, business travel accident insurance, health care and dependent care spending accounts, qualified retirement plans, and other benefits, in accordance with the terms of the programs.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2027 Executive Compensation Program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Committee made the following decisions regarding the Company’s Fiscal 2027 executive compensation program for the NEOs.</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Changes to 2027 Base Salary and AIP Target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For Fiscal 2027, the Committee approved the following base salary increases for our NEOs:  Mr. Chowbey 3.6%; Mr. Watson, 3.5%; Mr. Bersaglini, 3.5%; Mr. Hamadi, 5.0%; and Ms. Keating, 3.5%. Ms. Keating’s AIP target as a percent of base salary was increased from 60% to 65%. </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Changes to 2027 AIP Design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view of the significant unprecedented swings in the price of tungsten that could quickly impact revenue, working capital, and profitability, the Committee approved an AIP design for 2027 that contains only enterprise-level financial metrics, each with two six-month performance periods. The enterprise-level metrics are the same corporate metrics as in Fiscal 2026, but with Corporate Revenue’s weighting reduced to 15% from 20%. The nonfinancial goals were increased from 10% to 15%, with an additional 5% being applied to an enterprise volume growth metric for the senior leaders. The weightings for safety and the individual rating for senior leaders remained at 2.5% and 7.5%, respectively. The safety metric was changed to set a minimum percentage of FSIs that will have enhanced controls that strengthen their quality and effectiveness by being layered and more reliable.</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Changes to 2027 LTI Program</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No changes were made to the Fiscal 2027 long-term incentive program, reflecting our continued commitment to pay for performance.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shows the target long-term incentive grant value set for each of our NEOs under our LTI program for Fiscal 2027:</w:t>
      </w:r>
    </w:p>
    <w:tbl>
      <w:tblPr>
        <w:tblW w:w="3273" w:type="dxa"/>
        <w:jc w:val="left"/>
        <w:tblInd w:w="0" w:type="dxa"/>
        <w:tblLayout w:type="fixed"/>
        <w:tblCellMar>
          <w:top w:w="0" w:type="dxa"/>
          <w:left w:w="0" w:type="dxa"/>
          <w:bottom w:w="0" w:type="dxa"/>
          <w:right w:w="0" w:type="dxa"/>
        </w:tblCellMar>
      </w:tblPr>
      <w:tblGrid>
        <w:gridCol w:w="1576"/>
        <w:gridCol w:w="346"/>
        <w:gridCol w:w="234"/>
        <w:gridCol w:w="1117"/>
      </w:tblGrid>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left"/>
              <w:rPr/>
            </w:pPr>
            <w:r>
              <w:rPr/>
              <w:t>​</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Long-term</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Incentive</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 Value for</w:t>
            </w:r>
          </w:p>
        </w:tc>
      </w:tr>
      <w:tr>
        <w:trPr/>
        <w:tc>
          <w:tcPr>
            <w:tcW w:w="157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351" w:type="dxa"/>
            <w:gridSpan w:val="2"/>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Fiscal 2027</w:t>
            </w:r>
          </w:p>
        </w:tc>
      </w:tr>
      <w:tr>
        <w:trPr/>
        <w:tc>
          <w:tcPr>
            <w:tcW w:w="157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34"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7"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4,290,311</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34"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1,035,401</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34"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744,734</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34"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617,498</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34"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7"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652,050</w:t>
            </w:r>
          </w:p>
        </w:tc>
      </w:tr>
    </w:tbl>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54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3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05" descr=""/>
                    <pic:cNvPicPr>
                      <a:picLocks noChangeAspect="1" noChangeArrowheads="1"/>
                    </pic:cNvPicPr>
                  </pic:nvPicPr>
                  <pic:blipFill>
                    <a:blip r:embed="rId106"/>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Stock Ownership Guidelines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adopted Stock Ownership Guidelines for directors, executives and key managers to effectively link the interests of management and our shareowners and to promote an ownership culture throughout our organization. We believe that stock should be acquired and held in quantities that encourage management to make decisions and take actions that will enhance Company performance and increase its value. These guidelines were first adopted in 1995 and are reviewed annually by the Committee at its October meeting as a standing agenda item. Employees have five years from the date they become subject to the guidelines to acquire the requisite holdings.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current guidelines are:</w:t>
      </w:r>
    </w:p>
    <w:tbl>
      <w:tblPr>
        <w:tblW w:w="10205" w:type="dxa"/>
        <w:jc w:val="left"/>
        <w:tblInd w:w="0" w:type="dxa"/>
        <w:tblLayout w:type="fixed"/>
        <w:tblCellMar>
          <w:top w:w="0" w:type="dxa"/>
          <w:left w:w="0" w:type="dxa"/>
          <w:bottom w:w="0" w:type="dxa"/>
          <w:right w:w="0" w:type="dxa"/>
        </w:tblCellMar>
      </w:tblPr>
      <w:tblGrid>
        <w:gridCol w:w="8793"/>
        <w:gridCol w:w="346"/>
        <w:gridCol w:w="1066"/>
      </w:tblGrid>
      <w:tr>
        <w:trPr/>
        <w:tc>
          <w:tcPr>
            <w:tcW w:w="8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583555" cy="175260"/>
                      <wp:effectExtent l="0" t="0" r="0" b="0"/>
                      <wp:wrapNone/>
                      <wp:docPr id="234" name="Frame129"/>
                      <a:graphic xmlns:a="http://schemas.openxmlformats.org/drawingml/2006/main">
                        <a:graphicData uri="http://schemas.microsoft.com/office/word/2010/wordprocessingShape">
                          <wps:wsp>
                            <wps:cNvSpPr txBox="1"/>
                            <wps:spPr>
                              <a:xfrm>
                                <a:off x="0" y="0"/>
                                <a:ext cx="558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35"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76910" cy="175260"/>
                      <wp:effectExtent l="0" t="0" r="0" b="0"/>
                      <wp:wrapNone/>
                      <wp:docPr id="236" name="Frame13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93"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r>
      <w:tr>
        <w:trPr/>
        <w:tc>
          <w:tcPr>
            <w:tcW w:w="8793"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Multiple of</w:t>
            </w:r>
          </w:p>
        </w:tc>
      </w:tr>
      <w:tr>
        <w:trPr/>
        <w:tc>
          <w:tcPr>
            <w:tcW w:w="8793"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066"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Base Salary</w:t>
            </w:r>
          </w:p>
        </w:tc>
      </w:tr>
      <w:tr>
        <w:trPr/>
        <w:tc>
          <w:tcPr>
            <w:tcW w:w="8793"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CEO</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5X</w:t>
            </w:r>
          </w:p>
        </w:tc>
      </w:tr>
      <w:tr>
        <w:trPr/>
        <w:tc>
          <w:tcPr>
            <w:tcW w:w="879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r>
      <w:tr>
        <w:trPr/>
        <w:tc>
          <w:tcPr>
            <w:tcW w:w="8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87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CFO, Top Metal Cutting Segment Executive and Top Infrastructure Segment Executive</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w:t>
            </w:r>
          </w:p>
        </w:tc>
      </w:tr>
      <w:tr>
        <w:trPr/>
        <w:tc>
          <w:tcPr>
            <w:tcW w:w="879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r>
      <w:tr>
        <w:trPr/>
        <w:tc>
          <w:tcPr>
            <w:tcW w:w="8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87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All Other Executive Leadership Team Members Reporting to the President and CEO</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2X</w:t>
            </w:r>
          </w:p>
        </w:tc>
      </w:tr>
      <w:tr>
        <w:trPr/>
        <w:tc>
          <w:tcPr>
            <w:tcW w:w="879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r>
      <w:tr>
        <w:trPr/>
        <w:tc>
          <w:tcPr>
            <w:tcW w:w="8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87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Senior Leadership Direct Reports to the Executive Leadership Team (e.g., Vice President and Managing Director)</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0.5X</w:t>
            </w:r>
          </w:p>
        </w:tc>
      </w:tr>
      <w:tr>
        <w:trPr/>
        <w:tc>
          <w:tcPr>
            <w:tcW w:w="879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Shares owned outright, vested and unvested restricted stock and RSUs, deferred stock credits, and shares owned in benefit plans (such as a 401(k)) count toward fulfilling the ownership guidelines. Unearned performance share awards are not included for stock ownership purposes.</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 xml:space="preserve">Insider Trading Policy / Hedging and Pledging Policy </w:t>
      </w:r>
    </w:p>
    <w:p>
      <w:pPr>
        <w:pStyle w:val="TextBody"/>
        <w:bidi w:val="0"/>
        <w:spacing w:lineRule="auto" w:line="240" w:before="0" w:after="240"/>
        <w:ind w:left="0" w:right="0" w:hanging="0"/>
        <w:jc w:val="both"/>
        <w:rPr>
          <w:rFonts w:ascii="Arial;Helvetica;sans-serif" w:hAnsi="Arial;Helvetica;sans-serif"/>
          <w:sz w:val="20"/>
        </w:rPr>
      </w:pPr>
      <w:r>
        <w:rPr>
          <w:rFonts w:ascii="Arial;Helvetica;sans-serif" w:hAnsi="Arial;Helvetica;sans-serif"/>
          <w:sz w:val="20"/>
        </w:rPr>
        <w:t>We have an insider trading policy that prohibits executives from engaging in any transaction in our stock unless that transaction has been pre-cleared and approved. Although we generally do not mandate when executives may trade, among other requirements, our insider trading policy defines pre-clearance procedures and trading window periods, which open 24 hours after our quarterly earnings release and remain open for approximately 1 </w:t>
      </w:r>
      <w:r>
        <w:rPr>
          <w:rFonts w:ascii="Arial;Helvetica;sans-serif" w:hAnsi="Arial;Helvetica;sans-serif"/>
          <w:sz w:val="11"/>
        </w:rPr>
        <w:t>1</w:t>
      </w:r>
      <w:r>
        <w:rPr>
          <w:rFonts w:ascii="Arial;Helvetica;sans-serif" w:hAnsi="Arial;Helvetica;sans-serif"/>
          <w:sz w:val="20"/>
        </w:rPr>
        <w:t>/</w:t>
      </w:r>
      <w:r>
        <w:rPr>
          <w:rFonts w:ascii="Arial;Helvetica;sans-serif" w:hAnsi="Arial;Helvetica;sans-serif"/>
          <w:sz w:val="11"/>
        </w:rPr>
        <w:t>2</w:t>
      </w:r>
      <w:r>
        <w:rPr>
          <w:rFonts w:ascii="Arial;Helvetica;sans-serif" w:hAnsi="Arial;Helvetica;sans-serif"/>
          <w:sz w:val="20"/>
        </w:rPr>
        <w:t xml:space="preserve"> months thereafter. </w:t>
      </w:r>
      <w:r>
        <w:rPr>
          <w:rFonts w:ascii="Arial;Helvetica;sans-serif" w:hAnsi="Arial;Helvetica;sans-serif"/>
          <w:sz w:val="20"/>
          <w:shd w:fill="FFFFFF" w:val="clear"/>
        </w:rPr>
        <w:t>We believe our insider trading policy is reasonably designed to promote compliance with insider trading laws, rules and regulations, and NYSE listing standards. A copy of our insider trading policy was filed as Exhibit 19.1 to our Annual Report on Form 10-K for the year ended June 30, 2026. Additionally, the Company’s policy is to only engage in transactions of Company securities in compliance with insider trading laws.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Our insider trading policy includes hedging and pledging prohibitions that prohibit the hedging of Company stock by directors, executive officers and other corporate officers, as defined in the policy, and their family members, without the prior approval and express authorization of the Company’s General Counsel. Further, this policy also prohibits the pledging of Company stock by directors, executive officers and other corporate officers and their family members, unless the General Counsel has granted an exception to the individual. An exception to this prohibition may be granted where an individual wishes to pledge Company stock as collateral for a loan (not including margin debt) and clearly demonstrates the financial capacity to repay the loan without resorting to the pledged stock. For additional details about the Company’s insider trading policy, see the subsection entitled </w:t>
      </w:r>
      <w:r>
        <w:rPr>
          <w:rFonts w:ascii="Arial;Helvetica;sans-serif" w:hAnsi="Arial;Helvetica;sans-serif"/>
          <w:i/>
          <w:sz w:val="20"/>
        </w:rPr>
        <w:t>Prohibited Transactions</w:t>
      </w:r>
      <w:r>
        <w:rPr>
          <w:rFonts w:ascii="Arial;Helvetica;sans-serif" w:hAnsi="Arial;Helvetica;sans-serif"/>
          <w:sz w:val="20"/>
        </w:rPr>
        <w:t xml:space="preserve"> under the </w:t>
      </w:r>
      <w:r>
        <w:rPr>
          <w:rFonts w:ascii="Arial;Helvetica;sans-serif" w:hAnsi="Arial;Helvetica;sans-serif"/>
          <w:i/>
          <w:sz w:val="20"/>
        </w:rPr>
        <w:t>Ethics and Corporate Governance</w:t>
      </w:r>
      <w:r>
        <w:rPr>
          <w:rFonts w:ascii="Arial;Helvetica;sans-serif" w:hAnsi="Arial;Helvetica;sans-serif"/>
          <w:sz w:val="20"/>
        </w:rPr>
        <w:t xml:space="preserve"> section above.</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Employment Agreements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have employment agreements with all executive officers. We have summarized the material terms of these agreements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General</w:t>
      </w:r>
      <w:r>
        <w:rPr>
          <w:rFonts w:ascii="Arial;Helvetica;sans-serif" w:hAnsi="Arial;Helvetica;sans-serif"/>
          <w:sz w:val="20"/>
        </w:rPr>
        <w:t>. The agreements require our executives to devote their entire time and attention to the business and affairs of Kennametal while they are employed.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Term</w:t>
      </w:r>
      <w:r>
        <w:rPr>
          <w:rFonts w:ascii="Arial;Helvetica;sans-serif" w:hAnsi="Arial;Helvetica;sans-serif"/>
          <w:sz w:val="20"/>
        </w:rPr>
        <w:t>. There is no predetermined term. Each executive entered into the agreement upon commencing duties as an executive officer of the Company.</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55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3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06" descr=""/>
                    <pic:cNvPicPr>
                      <a:picLocks noChangeAspect="1" noChangeArrowheads="1"/>
                    </pic:cNvPicPr>
                  </pic:nvPicPr>
                  <pic:blipFill>
                    <a:blip r:embed="rId107"/>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 xml:space="preserve">Compensation. </w:t>
      </w:r>
      <w:r>
        <w:rPr>
          <w:rFonts w:ascii="Arial;Helvetica;sans-serif" w:hAnsi="Arial;Helvetica;sans-serif"/>
          <w:sz w:val="20"/>
        </w:rPr>
        <w:t>Except as noted below, the executive officer’s base salary, AIP opportunity, if any, and any other compensation for services are not specified under the agreements but rather are determined by the Committee upon the commencement of employment and assignment of the executive to a salary band. Thereafter, the Committee makes determinations regarding base salary, incentive awards, and all other components of compensation as described in this CD&amp;A section.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Non-competition/Non-disclosure</w:t>
      </w:r>
      <w:r>
        <w:rPr>
          <w:rFonts w:ascii="Arial;Helvetica;sans-serif" w:hAnsi="Arial;Helvetica;sans-serif"/>
          <w:sz w:val="20"/>
        </w:rPr>
        <w:t>. Unless the Company provides prior consent in writing, if an executive officer decides to voluntarily terminate his or her employment or the Company terminates the executive’s employment for cause, then for two or three years after the date of termination (depending on the executive), the executive cannot, in any geographic area in which the Company is offering its services and products: (a) directly or indirectly engage in; (b) assist or have an active interest in; or (c) enter the employ of, or act as agent for, or advisor or consultant to, any entity which is or is about to become directly or indirectly engaged in any business that is competitive with any business of the Company or any of our subsidiaries or affiliates in which the executive is or was engaged. Messrs. Watson, Bersaglini and Hamadi and Ms. Keating are subject to a one-year non-competition provision if terminated by the Company without cause. Under the terms of his employment agreement Mr. Chowbey is subject to a two-year non-competition provision if terminated by the Company without cause. However, in case of termination for any reason, the executive cannot disclose any of our confidential or trade secret information.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Assignment of Inventions</w:t>
      </w:r>
      <w:r>
        <w:rPr>
          <w:rFonts w:ascii="Arial;Helvetica;sans-serif" w:hAnsi="Arial;Helvetica;sans-serif"/>
          <w:sz w:val="20"/>
        </w:rPr>
        <w:t>. Each executive officer must assign to us all inventions conceived or made during his or her employment with the Company.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Employment Termination</w:t>
      </w:r>
      <w:r>
        <w:rPr>
          <w:rFonts w:ascii="Arial;Helvetica;sans-serif" w:hAnsi="Arial;Helvetica;sans-serif"/>
          <w:sz w:val="20"/>
        </w:rPr>
        <w:t>. The executive officer’s employment may be terminated by either party at any time, for any reason or no reason at all; provided that the Company may only terminate an executive officer’s employment with the approval and authorization of the Board.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Severance</w:t>
      </w:r>
      <w:r>
        <w:rPr>
          <w:rFonts w:ascii="Arial;Helvetica;sans-serif" w:hAnsi="Arial;Helvetica;sans-serif"/>
          <w:sz w:val="20"/>
        </w:rPr>
        <w:t>. If, with Board authorization, we involuntarily terminate an executive officer’s employment prior to a change in control and not for cause (and the executive has been employed by the company for a minimum of 2 years), the executive is entitled to 12 months of severance in the form of salary continuation, except for our CEO, Mr. Chowbey, who is entitled to 24 months of severance in the form of salary continuation. Our executive officers are not entitled to severance under any other termination scenario outside of a change in control context as described below.</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Change in Control</w:t>
      </w:r>
      <w:r>
        <w:rPr>
          <w:rFonts w:ascii="Arial;Helvetica;sans-serif" w:hAnsi="Arial;Helvetica;sans-serif"/>
          <w:sz w:val="20"/>
        </w:rPr>
        <w:t>. Under certain circumstances, the agreements provide for payments to an executive officer if his employment is terminated after a change of control. See “</w:t>
      </w:r>
      <w:r>
        <w:rPr>
          <w:rFonts w:ascii="Arial;Helvetica;sans-serif" w:hAnsi="Arial;Helvetica;sans-serif"/>
          <w:i/>
          <w:sz w:val="20"/>
        </w:rPr>
        <w:t>Termination Conditions and Arrangements</w:t>
      </w:r>
      <w:r>
        <w:rPr>
          <w:rFonts w:ascii="Arial;Helvetica;sans-serif" w:hAnsi="Arial;Helvetica;sans-serif"/>
          <w:sz w:val="20"/>
        </w:rPr>
        <w:t>” below and the “</w:t>
      </w:r>
      <w:r>
        <w:rPr>
          <w:rFonts w:ascii="Arial;Helvetica;sans-serif" w:hAnsi="Arial;Helvetica;sans-serif"/>
          <w:i/>
          <w:sz w:val="20"/>
        </w:rPr>
        <w:t>Potential Payments upon Termination or Change in Control</w:t>
      </w:r>
      <w:r>
        <w:rPr>
          <w:rFonts w:ascii="Arial;Helvetica;sans-serif" w:hAnsi="Arial;Helvetica;sans-serif"/>
          <w:sz w:val="20"/>
        </w:rPr>
        <w:t>” section of this Proxy Statement for a more detailed discussion.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 xml:space="preserve">No partial excise tax gross-up in agreements. </w:t>
      </w:r>
      <w:r>
        <w:rPr>
          <w:rFonts w:ascii="Arial;Helvetica;sans-serif" w:hAnsi="Arial;Helvetica;sans-serif"/>
          <w:sz w:val="20"/>
        </w:rPr>
        <w:t>Our executive officer employment agreements do not provide for any partial excise tax gross-up.</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Termination Conditions and Arrangements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 non-change in control context, our executive employment agreements provide for severance if the executive’s employment is terminated by us without “cause.” Additional details regarding the severance provisions and potential payments to our NEOs outside of a change in control context can be found in the “</w:t>
      </w:r>
      <w:r>
        <w:rPr>
          <w:rFonts w:ascii="Arial;Helvetica;sans-serif" w:hAnsi="Arial;Helvetica;sans-serif"/>
          <w:i/>
          <w:sz w:val="20"/>
        </w:rPr>
        <w:t>Potential Payments upon Termination or Change in Control</w:t>
      </w:r>
      <w:r>
        <w:rPr>
          <w:rFonts w:ascii="Arial;Helvetica;sans-serif" w:hAnsi="Arial;Helvetica;sans-serif"/>
          <w:sz w:val="20"/>
        </w:rPr>
        <w:t>” section.</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56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3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07" descr=""/>
                    <pic:cNvPicPr>
                      <a:picLocks noChangeAspect="1" noChangeArrowheads="1"/>
                    </pic:cNvPicPr>
                  </pic:nvPicPr>
                  <pic:blipFill>
                    <a:blip r:embed="rId108"/>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executive employment agreements, stock and incentive plans and certain of our retirement and post-employment plans contain change in control provisions. The change in control provisions in the executive employment agreements are applicable only for those executives that have entered into these agreements, which includes each of our NEOs. The provisions of our incentive plans and retirement plans are applicable to a broader base of our employees and include all those who participate in those plans. We include these provisions because we believe they help to align executive, Company, and shareowner interests. If we evaluate a possible transaction, we want our management to focus on the potential fit with our corporate goals and strategy and the creation of long-term value for our shareowners. We believe that change in control protections enable our management to consider corporate transactions objectively and to decide whether they are in the best interests of the Company and its shareowners without undue concern over whether the transactions may jeopardize future employment.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change in control protections under our executive employment agreements only provide payments upon the occurrence of a “double trigger,” rather than on the single occurrence of a change in control when the executive has not experienced a separation from service. For severance benefits to be “triggered,” a change in control must take place and an executive must be involuntarily terminated by us (other than for “cause” or Disability (as defined in the employment agreements)) or must voluntarily leave for “good reason” within 6 months prior to or 24 months following the change in control in the case of Messrs. Chowbey, Watson, Bersaglini and Hamadi, and Ms. Keating. For additional information concerning the change in control arrangements for our NEOs, see the “</w:t>
      </w:r>
      <w:r>
        <w:rPr>
          <w:rFonts w:ascii="Arial;Helvetica;sans-serif" w:hAnsi="Arial;Helvetica;sans-serif"/>
          <w:i/>
          <w:sz w:val="20"/>
        </w:rPr>
        <w:t>Potential Payments upon Termination or Change in Control</w:t>
      </w:r>
      <w:r>
        <w:rPr>
          <w:rFonts w:ascii="Arial;Helvetica;sans-serif" w:hAnsi="Arial;Helvetica;sans-serif"/>
          <w:sz w:val="20"/>
        </w:rPr>
        <w:t>” section of this Proxy Statement.</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Recoupment of Awards and Incentive Payments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any case where there has been an allegation of fraud or misconduct, the Board of Directors would investigate and carefully review the facts and circumstances of the alleged misconduct before determining the appropriate course of action. If, after completing its investigation, the Board were to determine that an employee or officer did engage in fraudulent behavior or misconduct, the Board would take appropriate action, which could include, among other things, termination of employment, institution of legal proceedings against the wrongdoer, or bringing the misconduct to the attention of the proper authorities. If the misconduct results in a material restatement of the Company’s financial results, then the Board, in addition to the above remedies, may also seek repayment of any bonus received for the period restated, seek repayment of gains realized because of exercising stock options awarded for the period restated, or cancel any outstanding stock options or other equity or incentive compensation. Pursuant to the rule adopted by the Securities and Exchange Commission in October 2022, we adopted a clawback policy in Fiscal 2024 to reflect the requirements of the new mandatory recoupment rule issued by the New York Stock Exchange.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also incorporates restrictive covenants (prohibiting working for competitors for a period following separation from employment and disclosure of confidential or proprietary information) into the executive employment agreements. If the Board of Directors determines that a violation of any one of these covenants has occurred, it may, in its discretion, discontinue any future payments and/or take appropriate legal action to recoup the amounts paid under these programs.</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Tax, Accounting, and Regulatory Considerations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consider the effect of tax, accounting and other regulatory requirements in designing and implementing compensation programs, and while these factors may affect plan designs, ultimately decisions reflect the pay strategy of the Company and the program intent.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Section 162(m) of the Code currently imposes a $1 million limit on the amount that a public company may deduct for compensation paid to an employee who is chief executive officer, chief financial officer, or another “covered employee” (as defined by Section 162(m)), or was such an employee beginning in any year after 2017. Accordingly, compensation awarded to covered employees in excess of one million dollars will generally not be deductible.</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reserve the right to design programs, structure other compensation arrangements and authorize compensation we determine to be appropriate and in the best interest of the Company and our shareowners, even where the compensation paid under such programs is not deductible. This discretion is an important feature of the Committee’s compensation practices because it provides the Committee with sufficient flexibility to respond to specific circumstances facing the Company.</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57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3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08" descr=""/>
                    <pic:cNvPicPr>
                      <a:picLocks noChangeAspect="1" noChangeArrowheads="1"/>
                    </pic:cNvPicPr>
                  </pic:nvPicPr>
                  <pic:blipFill>
                    <a:blip r:embed="rId109"/>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EXECUTIVE COMPENSATION: Compensation Discussion and Analysis</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Tools and Analytics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Committee utilizes various tools and analytics provided by both Pay Governance and our internal management and human resources personnel to execute its duties. These tools and analyses provide internal and external context and perspective to assist the Committee with its decision-making process. The Committee reviews and considers the following information, as appropriate, when making compensation decisions:</w:t>
      </w:r>
    </w:p>
    <w:tbl>
      <w:tblPr>
        <w:tblW w:w="5897" w:type="dxa"/>
        <w:jc w:val="left"/>
        <w:tblInd w:w="0" w:type="dxa"/>
        <w:tblLayout w:type="fixed"/>
        <w:tblCellMar>
          <w:top w:w="0" w:type="dxa"/>
          <w:left w:w="0" w:type="dxa"/>
          <w:bottom w:w="0" w:type="dxa"/>
          <w:right w:w="0" w:type="dxa"/>
        </w:tblCellMar>
      </w:tblPr>
      <w:tblGrid>
        <w:gridCol w:w="271"/>
        <w:gridCol w:w="5626"/>
      </w:tblGrid>
      <w:tr>
        <w:trPr/>
        <w:tc>
          <w:tcPr>
            <w:tcW w:w="271" w:type="dxa"/>
            <w:tcBorders/>
            <w:vAlign w:val="center"/>
          </w:tcPr>
          <w:p>
            <w:pPr>
              <w:pStyle w:val="TableContents"/>
              <w:bidi w:val="0"/>
              <w:spacing w:before="0" w:after="283"/>
              <w:jc w:val="left"/>
              <w:rPr/>
            </w:pPr>
            <w:r>
              <w:rPr/>
              <w:t>●</w:t>
            </w:r>
          </w:p>
        </w:tc>
        <w:tc>
          <w:tcPr>
            <w:tcW w:w="56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compensation tally sheets and pay histories for the CEO;</w:t>
            </w:r>
          </w:p>
        </w:tc>
      </w:tr>
    </w:tbl>
    <w:tbl>
      <w:tblPr>
        <w:tblW w:w="7067" w:type="dxa"/>
        <w:jc w:val="left"/>
        <w:tblInd w:w="0" w:type="dxa"/>
        <w:tblLayout w:type="fixed"/>
        <w:tblCellMar>
          <w:top w:w="0" w:type="dxa"/>
          <w:left w:w="0" w:type="dxa"/>
          <w:bottom w:w="0" w:type="dxa"/>
          <w:right w:w="0" w:type="dxa"/>
        </w:tblCellMar>
      </w:tblPr>
      <w:tblGrid>
        <w:gridCol w:w="271"/>
        <w:gridCol w:w="6796"/>
      </w:tblGrid>
      <w:tr>
        <w:trPr/>
        <w:tc>
          <w:tcPr>
            <w:tcW w:w="271" w:type="dxa"/>
            <w:tcBorders/>
            <w:vAlign w:val="center"/>
          </w:tcPr>
          <w:p>
            <w:pPr>
              <w:pStyle w:val="TableContents"/>
              <w:bidi w:val="0"/>
              <w:spacing w:before="0" w:after="283"/>
              <w:jc w:val="left"/>
              <w:rPr/>
            </w:pPr>
            <w:r>
              <w:rPr/>
              <w:t>●</w:t>
            </w:r>
          </w:p>
        </w:tc>
        <w:tc>
          <w:tcPr>
            <w:tcW w:w="67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CEO and executive officer competitive assessments for all elements of pay;</w:t>
            </w:r>
          </w:p>
        </w:tc>
      </w:tr>
    </w:tbl>
    <w:tbl>
      <w:tblPr>
        <w:tblW w:w="7952" w:type="dxa"/>
        <w:jc w:val="left"/>
        <w:tblInd w:w="0" w:type="dxa"/>
        <w:tblLayout w:type="fixed"/>
        <w:tblCellMar>
          <w:top w:w="0" w:type="dxa"/>
          <w:left w:w="0" w:type="dxa"/>
          <w:bottom w:w="0" w:type="dxa"/>
          <w:right w:w="0" w:type="dxa"/>
        </w:tblCellMar>
      </w:tblPr>
      <w:tblGrid>
        <w:gridCol w:w="271"/>
        <w:gridCol w:w="7681"/>
      </w:tblGrid>
      <w:tr>
        <w:trPr/>
        <w:tc>
          <w:tcPr>
            <w:tcW w:w="271" w:type="dxa"/>
            <w:tcBorders/>
            <w:vAlign w:val="center"/>
          </w:tcPr>
          <w:p>
            <w:pPr>
              <w:pStyle w:val="TableContents"/>
              <w:bidi w:val="0"/>
              <w:spacing w:before="0" w:after="283"/>
              <w:jc w:val="left"/>
              <w:rPr/>
            </w:pPr>
            <w:r>
              <w:rPr/>
              <w:t>●</w:t>
            </w:r>
          </w:p>
        </w:tc>
        <w:tc>
          <w:tcPr>
            <w:tcW w:w="76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Realizable pay-for-performance and value sharing assessments versus our peer group;</w:t>
            </w:r>
          </w:p>
        </w:tc>
      </w:tr>
    </w:tbl>
    <w:tbl>
      <w:tblPr>
        <w:tblW w:w="6767" w:type="dxa"/>
        <w:jc w:val="left"/>
        <w:tblInd w:w="0" w:type="dxa"/>
        <w:tblLayout w:type="fixed"/>
        <w:tblCellMar>
          <w:top w:w="0" w:type="dxa"/>
          <w:left w:w="0" w:type="dxa"/>
          <w:bottom w:w="0" w:type="dxa"/>
          <w:right w:w="0" w:type="dxa"/>
        </w:tblCellMar>
      </w:tblPr>
      <w:tblGrid>
        <w:gridCol w:w="271"/>
        <w:gridCol w:w="6496"/>
      </w:tblGrid>
      <w:tr>
        <w:trPr/>
        <w:tc>
          <w:tcPr>
            <w:tcW w:w="271" w:type="dxa"/>
            <w:tcBorders/>
            <w:vAlign w:val="center"/>
          </w:tcPr>
          <w:p>
            <w:pPr>
              <w:pStyle w:val="TableContents"/>
              <w:bidi w:val="0"/>
              <w:spacing w:before="0" w:after="283"/>
              <w:jc w:val="left"/>
              <w:rPr/>
            </w:pPr>
            <w:r>
              <w:rPr/>
              <w:t>●</w:t>
            </w:r>
          </w:p>
        </w:tc>
        <w:tc>
          <w:tcPr>
            <w:tcW w:w="64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Dilution and share utilization assessments, projections and comparisons;</w:t>
            </w:r>
          </w:p>
        </w:tc>
      </w:tr>
    </w:tbl>
    <w:tbl>
      <w:tblPr>
        <w:tblW w:w="4952" w:type="dxa"/>
        <w:jc w:val="left"/>
        <w:tblInd w:w="0" w:type="dxa"/>
        <w:tblLayout w:type="fixed"/>
        <w:tblCellMar>
          <w:top w:w="0" w:type="dxa"/>
          <w:left w:w="0" w:type="dxa"/>
          <w:bottom w:w="0" w:type="dxa"/>
          <w:right w:w="0" w:type="dxa"/>
        </w:tblCellMar>
      </w:tblPr>
      <w:tblGrid>
        <w:gridCol w:w="271"/>
        <w:gridCol w:w="4681"/>
      </w:tblGrid>
      <w:tr>
        <w:trPr/>
        <w:tc>
          <w:tcPr>
            <w:tcW w:w="271" w:type="dxa"/>
            <w:tcBorders/>
            <w:vAlign w:val="center"/>
          </w:tcPr>
          <w:p>
            <w:pPr>
              <w:pStyle w:val="TableContents"/>
              <w:bidi w:val="0"/>
              <w:spacing w:before="0" w:after="283"/>
              <w:jc w:val="left"/>
              <w:rPr/>
            </w:pPr>
            <w:r>
              <w:rPr/>
              <w:t>●</w:t>
            </w:r>
          </w:p>
        </w:tc>
        <w:tc>
          <w:tcPr>
            <w:tcW w:w="46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Equity expense comparisons versus our peer group;</w:t>
            </w:r>
          </w:p>
        </w:tc>
      </w:tr>
    </w:tbl>
    <w:tbl>
      <w:tblPr>
        <w:tblW w:w="4802" w:type="dxa"/>
        <w:jc w:val="left"/>
        <w:tblInd w:w="0" w:type="dxa"/>
        <w:tblLayout w:type="fixed"/>
        <w:tblCellMar>
          <w:top w:w="0" w:type="dxa"/>
          <w:left w:w="0" w:type="dxa"/>
          <w:bottom w:w="0" w:type="dxa"/>
          <w:right w:w="0" w:type="dxa"/>
        </w:tblCellMar>
      </w:tblPr>
      <w:tblGrid>
        <w:gridCol w:w="271"/>
        <w:gridCol w:w="4531"/>
      </w:tblGrid>
      <w:tr>
        <w:trPr/>
        <w:tc>
          <w:tcPr>
            <w:tcW w:w="271" w:type="dxa"/>
            <w:tcBorders/>
            <w:vAlign w:val="center"/>
          </w:tcPr>
          <w:p>
            <w:pPr>
              <w:pStyle w:val="TableContents"/>
              <w:bidi w:val="0"/>
              <w:spacing w:before="0" w:after="283"/>
              <w:jc w:val="left"/>
              <w:rPr/>
            </w:pPr>
            <w:r>
              <w:rPr/>
              <w:t>●</w:t>
            </w:r>
          </w:p>
        </w:tc>
        <w:tc>
          <w:tcPr>
            <w:tcW w:w="45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Incentive design and vehicle prevalence analyses;</w:t>
            </w:r>
          </w:p>
        </w:tc>
      </w:tr>
    </w:tbl>
    <w:tbl>
      <w:tblPr>
        <w:tblW w:w="4577" w:type="dxa"/>
        <w:jc w:val="left"/>
        <w:tblInd w:w="0" w:type="dxa"/>
        <w:tblLayout w:type="fixed"/>
        <w:tblCellMar>
          <w:top w:w="0" w:type="dxa"/>
          <w:left w:w="0" w:type="dxa"/>
          <w:bottom w:w="0" w:type="dxa"/>
          <w:right w:w="0" w:type="dxa"/>
        </w:tblCellMar>
      </w:tblPr>
      <w:tblGrid>
        <w:gridCol w:w="271"/>
        <w:gridCol w:w="4306"/>
      </w:tblGrid>
      <w:tr>
        <w:trPr/>
        <w:tc>
          <w:tcPr>
            <w:tcW w:w="271" w:type="dxa"/>
            <w:tcBorders/>
            <w:vAlign w:val="center"/>
          </w:tcPr>
          <w:p>
            <w:pPr>
              <w:pStyle w:val="TableContents"/>
              <w:bidi w:val="0"/>
              <w:spacing w:before="0" w:after="283"/>
              <w:jc w:val="left"/>
              <w:rPr/>
            </w:pPr>
            <w:r>
              <w:rPr/>
              <w:t>●</w:t>
            </w:r>
          </w:p>
        </w:tc>
        <w:tc>
          <w:tcPr>
            <w:tcW w:w="43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Internal goal setting and achievement analyses;</w:t>
            </w:r>
          </w:p>
        </w:tc>
      </w:tr>
    </w:tbl>
    <w:tbl>
      <w:tblPr>
        <w:tblW w:w="5027" w:type="dxa"/>
        <w:jc w:val="left"/>
        <w:tblInd w:w="0" w:type="dxa"/>
        <w:tblLayout w:type="fixed"/>
        <w:tblCellMar>
          <w:top w:w="0" w:type="dxa"/>
          <w:left w:w="0" w:type="dxa"/>
          <w:bottom w:w="0" w:type="dxa"/>
          <w:right w:w="0" w:type="dxa"/>
        </w:tblCellMar>
      </w:tblPr>
      <w:tblGrid>
        <w:gridCol w:w="271"/>
        <w:gridCol w:w="4756"/>
      </w:tblGrid>
      <w:tr>
        <w:trPr/>
        <w:tc>
          <w:tcPr>
            <w:tcW w:w="271"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Compensation policy and practices risk assessment;</w:t>
            </w:r>
          </w:p>
        </w:tc>
      </w:tr>
    </w:tbl>
    <w:tbl>
      <w:tblPr>
        <w:tblW w:w="3002" w:type="dxa"/>
        <w:jc w:val="left"/>
        <w:tblInd w:w="0" w:type="dxa"/>
        <w:tblLayout w:type="fixed"/>
        <w:tblCellMar>
          <w:top w:w="0" w:type="dxa"/>
          <w:left w:w="0" w:type="dxa"/>
          <w:bottom w:w="0" w:type="dxa"/>
          <w:right w:w="0" w:type="dxa"/>
        </w:tblCellMar>
      </w:tblPr>
      <w:tblGrid>
        <w:gridCol w:w="271"/>
        <w:gridCol w:w="2731"/>
      </w:tblGrid>
      <w:tr>
        <w:trPr/>
        <w:tc>
          <w:tcPr>
            <w:tcW w:w="271" w:type="dxa"/>
            <w:tcBorders/>
            <w:vAlign w:val="center"/>
          </w:tcPr>
          <w:p>
            <w:pPr>
              <w:pStyle w:val="TableContents"/>
              <w:bidi w:val="0"/>
              <w:spacing w:before="0" w:after="283"/>
              <w:jc w:val="left"/>
              <w:rPr/>
            </w:pPr>
            <w:r>
              <w:rPr/>
              <w:t>●</w:t>
            </w:r>
          </w:p>
        </w:tc>
        <w:tc>
          <w:tcPr>
            <w:tcW w:w="27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Executive retention analyses;</w:t>
            </w:r>
          </w:p>
        </w:tc>
      </w:tr>
    </w:tbl>
    <w:tbl>
      <w:tblPr>
        <w:tblW w:w="6662" w:type="dxa"/>
        <w:jc w:val="left"/>
        <w:tblInd w:w="0" w:type="dxa"/>
        <w:tblLayout w:type="fixed"/>
        <w:tblCellMar>
          <w:top w:w="0" w:type="dxa"/>
          <w:left w:w="0" w:type="dxa"/>
          <w:bottom w:w="0" w:type="dxa"/>
          <w:right w:w="0" w:type="dxa"/>
        </w:tblCellMar>
      </w:tblPr>
      <w:tblGrid>
        <w:gridCol w:w="271"/>
        <w:gridCol w:w="6391"/>
      </w:tblGrid>
      <w:tr>
        <w:trPr/>
        <w:tc>
          <w:tcPr>
            <w:tcW w:w="271" w:type="dxa"/>
            <w:tcBorders/>
            <w:vAlign w:val="center"/>
          </w:tcPr>
          <w:p>
            <w:pPr>
              <w:pStyle w:val="TableContents"/>
              <w:bidi w:val="0"/>
              <w:spacing w:before="0" w:after="283"/>
              <w:jc w:val="left"/>
              <w:rPr/>
            </w:pPr>
            <w:r>
              <w:rPr/>
              <w:t>●</w:t>
            </w:r>
          </w:p>
        </w:tc>
        <w:tc>
          <w:tcPr>
            <w:tcW w:w="63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and long-term incentive plan performance and progress updates;</w:t>
            </w:r>
          </w:p>
        </w:tc>
      </w:tr>
    </w:tbl>
    <w:tbl>
      <w:tblPr>
        <w:tblW w:w="4472" w:type="dxa"/>
        <w:jc w:val="left"/>
        <w:tblInd w:w="0" w:type="dxa"/>
        <w:tblLayout w:type="fixed"/>
        <w:tblCellMar>
          <w:top w:w="0" w:type="dxa"/>
          <w:left w:w="0" w:type="dxa"/>
          <w:bottom w:w="0" w:type="dxa"/>
          <w:right w:w="0" w:type="dxa"/>
        </w:tblCellMar>
      </w:tblPr>
      <w:tblGrid>
        <w:gridCol w:w="271"/>
        <w:gridCol w:w="4201"/>
      </w:tblGrid>
      <w:tr>
        <w:trPr/>
        <w:tc>
          <w:tcPr>
            <w:tcW w:w="271" w:type="dxa"/>
            <w:tcBorders/>
            <w:vAlign w:val="center"/>
          </w:tcPr>
          <w:p>
            <w:pPr>
              <w:pStyle w:val="TableContents"/>
              <w:bidi w:val="0"/>
              <w:spacing w:before="0" w:after="283"/>
              <w:jc w:val="left"/>
              <w:rPr/>
            </w:pPr>
            <w:r>
              <w:rPr/>
              <w:t>●</w:t>
            </w:r>
          </w:p>
        </w:tc>
        <w:tc>
          <w:tcPr>
            <w:tcW w:w="42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Executive perquisite prevalence analyses; and</w:t>
            </w:r>
          </w:p>
        </w:tc>
      </w:tr>
    </w:tbl>
    <w:tbl>
      <w:tblPr>
        <w:tblW w:w="5882" w:type="dxa"/>
        <w:jc w:val="left"/>
        <w:tblInd w:w="0" w:type="dxa"/>
        <w:tblLayout w:type="fixed"/>
        <w:tblCellMar>
          <w:top w:w="0" w:type="dxa"/>
          <w:left w:w="0" w:type="dxa"/>
          <w:bottom w:w="0" w:type="dxa"/>
          <w:right w:w="0" w:type="dxa"/>
        </w:tblCellMar>
      </w:tblPr>
      <w:tblGrid>
        <w:gridCol w:w="271"/>
        <w:gridCol w:w="5611"/>
      </w:tblGrid>
      <w:tr>
        <w:trPr/>
        <w:tc>
          <w:tcPr>
            <w:tcW w:w="271" w:type="dxa"/>
            <w:tcBorders/>
            <w:vAlign w:val="center"/>
          </w:tcPr>
          <w:p>
            <w:pPr>
              <w:pStyle w:val="TableContents"/>
              <w:bidi w:val="0"/>
              <w:spacing w:before="0" w:after="283"/>
              <w:jc w:val="left"/>
              <w:rPr/>
            </w:pPr>
            <w:r>
              <w:rPr/>
              <w:t>●</w:t>
            </w:r>
          </w:p>
        </w:tc>
        <w:tc>
          <w:tcPr>
            <w:tcW w:w="56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ad hoc analyses performed at the Committee’s direction.</w:t>
            </w:r>
          </w:p>
        </w:tc>
      </w:tr>
    </w:tbl>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information above is reviewed either annually or by special request of the Committee.</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Compensation for Non-Employee Directors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Nominating/Corporate Governance Committee has responsibility for the review and oversight of non-employee director compensation. The role of the Nominating/Corporate Governance Committee in this context is explained in further detail in the “</w:t>
      </w:r>
      <w:r>
        <w:rPr>
          <w:rFonts w:ascii="Arial;Helvetica;sans-serif" w:hAnsi="Arial;Helvetica;sans-serif"/>
          <w:i/>
          <w:sz w:val="20"/>
        </w:rPr>
        <w:t>Ethics and Corporate Governance</w:t>
      </w:r>
      <w:r>
        <w:rPr>
          <w:rFonts w:ascii="Arial;Helvetica;sans-serif" w:hAnsi="Arial;Helvetica;sans-serif"/>
          <w:sz w:val="20"/>
        </w:rPr>
        <w:t>” section of this Proxy Statement. The compensation of non-employee directors in 2026 is described more fully in the “</w:t>
      </w:r>
      <w:r>
        <w:rPr>
          <w:rFonts w:ascii="Arial;Helvetica;sans-serif" w:hAnsi="Arial;Helvetica;sans-serif"/>
          <w:i/>
          <w:sz w:val="20"/>
        </w:rPr>
        <w:t>Board of Directors Compensation and Benefits</w:t>
      </w:r>
      <w:r>
        <w:rPr>
          <w:rFonts w:ascii="Arial;Helvetica;sans-serif" w:hAnsi="Arial;Helvetica;sans-serif"/>
          <w:sz w:val="20"/>
        </w:rPr>
        <w:t>” section of this Proxy Statement.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58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4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09" descr=""/>
                    <pic:cNvPicPr>
                      <a:picLocks noChangeAspect="1" noChangeArrowheads="1"/>
                    </pic:cNvPicPr>
                  </pic:nvPicPr>
                  <pic:blipFill>
                    <a:blip r:embed="rId110"/>
                    <a:stretch>
                      <a:fillRect/>
                    </a:stretch>
                  </pic:blipFill>
                  <pic:spPr bwMode="auto">
                    <a:xfrm>
                      <a:off x="0" y="0"/>
                      <a:ext cx="6876415" cy="474980"/>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48" w:name="CompensationandHumanCapitalCommitteeRepo"/>
      <w:bookmarkStart w:id="49" w:name="_b3c1ed2c_28da_4943_a022_61b1fd4d6699"/>
      <w:bookmarkEnd w:id="48"/>
      <w:bookmarkEnd w:id="49"/>
      <w:r>
        <w:rPr>
          <w:rFonts w:ascii="Arial;Helvetica;sans-serif" w:hAnsi="Arial;Helvetica;sans-serif"/>
          <w:b/>
          <w:sz w:val="32"/>
        </w:rPr>
        <w:t>Compensation and Human Capital Committee Report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Compensation and Human Capital Committee (“we” or “the Committee”) recommends an overall compensation policy to the Board, has direct responsibility for matters relating to compensation of the executive officers, advises the Board regarding management succession, and administers the Company’s equity compensation plans and deferred compensation plans. Management has the primary responsibility for the Company’s financial statements and reporting process, including the disclosure of executive compensation. Accordingly, we have reviewed and discussed with management the Compensation Discussion and Analysis section of this Proxy Statement. Based on that review and discussion, we have recommended to the Board of Directors that the Compensation Discussion and Analysis be included in this Proxy Statement for filing with the Securities and Exchange Commission.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Compensation and Human Capital Committee: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Lorraine M. Martin (Chair)</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Joseph Alvarado</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Shelley Bausch</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59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4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10" descr=""/>
                    <pic:cNvPicPr>
                      <a:picLocks noChangeAspect="1" noChangeArrowheads="1"/>
                    </pic:cNvPicPr>
                  </pic:nvPicPr>
                  <pic:blipFill>
                    <a:blip r:embed="rId111"/>
                    <a:stretch>
                      <a:fillRect/>
                    </a:stretch>
                  </pic:blipFill>
                  <pic:spPr bwMode="auto">
                    <a:xfrm>
                      <a:off x="0" y="0"/>
                      <a:ext cx="6858000" cy="480695"/>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50" w:name="AnalysisofRiskInherentinourCompensation_"/>
      <w:bookmarkStart w:id="51" w:name="_c95cba23_0d10_4ad1_81c2_e874a118243b"/>
      <w:bookmarkEnd w:id="50"/>
      <w:bookmarkEnd w:id="51"/>
      <w:r>
        <w:rPr>
          <w:rFonts w:ascii="Arial;Helvetica;sans-serif" w:hAnsi="Arial;Helvetica;sans-serif"/>
          <w:b/>
          <w:sz w:val="32"/>
        </w:rPr>
        <w:t xml:space="preserve">Analysis of Risk Inherent in our Compensation Policies and Practices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During 2026, the Compensation and Human Capital Committee directed the Company’s management to work with Pay Governance to conduct a risk assessment of all of our compensation policies and practices to ensure that they do not foster risk taking above the level of risk associated with our business model. Based upon that review and a review by management of the Company’s internal controls, the Compensation and Human Capital Committee has concluded that our compensation programs do not encourage executives or other employees to take inappropriate risks that are reasonably likely to have a material adverse effect on the Company. The Compensation and Human Capital Committee based its conclusion on a variety of factors, including the following specific aspects of the Company’s compensation practices: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AIP is based on balanced performance metrics that promote disciplined progress towards longer-term Company goals;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do not offer significant short-term incentives that might drive high-risk investments at the expense of long-term Company and shareowner value;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senior management and executive levels, our compensation programs are weighted towards offering long-term incentives that reward sustainable long-term performance, especially when considering our share ownership guidelines and vesting requirements;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All compensation awards are capped at reasonable and sustainable levels, as determined by a review of our economic position and prospects, as well as the compensation offered within our peer group and by comparable companies. with this Plan and their respective terms. </w:t>
            </w:r>
          </w:p>
        </w:tc>
      </w:tr>
    </w:tbl>
    <w:tbl>
      <w:tblPr>
        <w:tblW w:w="9452" w:type="dxa"/>
        <w:jc w:val="left"/>
        <w:tblInd w:w="0" w:type="dxa"/>
        <w:tblLayout w:type="fixed"/>
        <w:tblCellMar>
          <w:top w:w="0" w:type="dxa"/>
          <w:left w:w="0" w:type="dxa"/>
          <w:bottom w:w="0" w:type="dxa"/>
          <w:right w:w="0" w:type="dxa"/>
        </w:tblCellMar>
      </w:tblPr>
      <w:tblGrid>
        <w:gridCol w:w="271"/>
        <w:gridCol w:w="9181"/>
      </w:tblGrid>
      <w:tr>
        <w:trPr/>
        <w:tc>
          <w:tcPr>
            <w:tcW w:w="271" w:type="dxa"/>
            <w:tcBorders/>
            <w:vAlign w:val="center"/>
          </w:tcPr>
          <w:p>
            <w:pPr>
              <w:pStyle w:val="TableContents"/>
              <w:bidi w:val="0"/>
              <w:spacing w:before="0" w:after="283"/>
              <w:jc w:val="left"/>
              <w:rPr/>
            </w:pPr>
            <w:r>
              <w:rPr/>
              <w:t>●</w:t>
            </w:r>
          </w:p>
        </w:tc>
        <w:tc>
          <w:tcPr>
            <w:tcW w:w="91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All executives and members of senior management must abide by rigorous stock ownership guidelines. </w:t>
            </w:r>
          </w:p>
        </w:tc>
      </w:tr>
    </w:tbl>
    <w:tbl>
      <w:tblPr>
        <w:tblW w:w="10037" w:type="dxa"/>
        <w:jc w:val="left"/>
        <w:tblInd w:w="0" w:type="dxa"/>
        <w:tblLayout w:type="fixed"/>
        <w:tblCellMar>
          <w:top w:w="0" w:type="dxa"/>
          <w:left w:w="0" w:type="dxa"/>
          <w:bottom w:w="0" w:type="dxa"/>
          <w:right w:w="0" w:type="dxa"/>
        </w:tblCellMar>
      </w:tblPr>
      <w:tblGrid>
        <w:gridCol w:w="271"/>
        <w:gridCol w:w="9766"/>
      </w:tblGrid>
      <w:tr>
        <w:trPr/>
        <w:tc>
          <w:tcPr>
            <w:tcW w:w="271"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maintain rigorous governance policies including recoupment, insider trading, and anti-hedging and pledging.</w:t>
            </w:r>
          </w:p>
        </w:tc>
      </w:tr>
    </w:tbl>
    <w:p>
      <w:pPr>
        <w:pStyle w:val="TextBody"/>
        <w:bidi w:val="0"/>
        <w:spacing w:before="0" w:after="240"/>
        <w:ind w:left="504" w:right="0" w:hanging="0"/>
        <w:jc w:val="both"/>
        <w:rPr/>
      </w:pPr>
      <w:r>
        <w:rPr/>
        <w:t>​</w:t>
      </w:r>
    </w:p>
    <w:p>
      <w:pPr>
        <w:pStyle w:val="TextBody"/>
        <w:bidi w:val="0"/>
        <w:spacing w:before="0" w:after="240"/>
        <w:ind w:left="504"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60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4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11" descr=""/>
                    <pic:cNvPicPr>
                      <a:picLocks noChangeAspect="1" noChangeArrowheads="1"/>
                    </pic:cNvPicPr>
                  </pic:nvPicPr>
                  <pic:blipFill>
                    <a:blip r:embed="rId11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ANALYSIS OF RISK INHERENT IN OUR COMPENSATION POLICIES AND PRACTICES</w:t>
      </w:r>
    </w:p>
    <w:p>
      <w:pPr>
        <w:pStyle w:val="TextBody"/>
        <w:bidi w:val="0"/>
        <w:spacing w:before="0" w:after="120"/>
        <w:ind w:left="0" w:right="0" w:hanging="0"/>
        <w:jc w:val="left"/>
        <w:rPr>
          <w:rFonts w:ascii="Arial;Helvetica;sans-serif" w:hAnsi="Arial;Helvetica;sans-serif"/>
          <w:b/>
          <w:sz w:val="24"/>
        </w:rPr>
      </w:pPr>
      <w:bookmarkStart w:id="52" w:name="ExecutiveCompensationTables_637731"/>
      <w:bookmarkStart w:id="53" w:name="_5df8cd78_f020_4f99_9864_40a98586d2d9"/>
      <w:bookmarkEnd w:id="52"/>
      <w:bookmarkEnd w:id="53"/>
      <w:r>
        <w:rPr>
          <w:rFonts w:ascii="Arial;Helvetica;sans-serif" w:hAnsi="Arial;Helvetica;sans-serif"/>
          <w:b/>
          <w:sz w:val="24"/>
        </w:rPr>
        <w:t xml:space="preserve">Executive Compensation Tables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tables and discussion below show the compensation paid to our NEOs for Fiscal 2026. </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Summary Compensation Table</w:t>
      </w:r>
    </w:p>
    <w:tbl>
      <w:tblPr>
        <w:tblW w:w="11029" w:type="dxa"/>
        <w:jc w:val="left"/>
        <w:tblInd w:w="0" w:type="dxa"/>
        <w:tblLayout w:type="fixed"/>
        <w:tblCellMar>
          <w:top w:w="0" w:type="dxa"/>
          <w:left w:w="0" w:type="dxa"/>
          <w:bottom w:w="0" w:type="dxa"/>
          <w:right w:w="0" w:type="dxa"/>
        </w:tblCellMar>
      </w:tblPr>
      <w:tblGrid>
        <w:gridCol w:w="856"/>
        <w:gridCol w:w="226"/>
        <w:gridCol w:w="466"/>
        <w:gridCol w:w="226"/>
        <w:gridCol w:w="691"/>
        <w:gridCol w:w="226"/>
        <w:gridCol w:w="691"/>
        <w:gridCol w:w="226"/>
        <w:gridCol w:w="826"/>
        <w:gridCol w:w="226"/>
        <w:gridCol w:w="706"/>
        <w:gridCol w:w="226"/>
        <w:gridCol w:w="1276"/>
        <w:gridCol w:w="226"/>
        <w:gridCol w:w="1276"/>
        <w:gridCol w:w="226"/>
        <w:gridCol w:w="1276"/>
        <w:gridCol w:w="226"/>
        <w:gridCol w:w="931"/>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43560" cy="175260"/>
                      <wp:effectExtent l="0" t="0" r="0" b="0"/>
                      <wp:wrapNone/>
                      <wp:docPr id="243" name="Frame13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3510" cy="175260"/>
                      <wp:effectExtent l="0" t="0" r="0" b="0"/>
                      <wp:wrapNone/>
                      <wp:docPr id="244" name="Frame1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95910" cy="175260"/>
                      <wp:effectExtent l="0" t="0" r="0" b="0"/>
                      <wp:wrapNone/>
                      <wp:docPr id="245" name="Frame13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3510" cy="175260"/>
                      <wp:effectExtent l="0" t="0" r="0" b="0"/>
                      <wp:wrapNone/>
                      <wp:docPr id="246" name="Frame1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38785" cy="175260"/>
                      <wp:effectExtent l="0" t="0" r="0" b="0"/>
                      <wp:wrapNone/>
                      <wp:docPr id="247" name="Frame1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3510" cy="175260"/>
                      <wp:effectExtent l="0" t="0" r="0" b="0"/>
                      <wp:wrapNone/>
                      <wp:docPr id="248" name="Frame1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38785" cy="175260"/>
                      <wp:effectExtent l="0" t="0" r="0" b="0"/>
                      <wp:wrapNone/>
                      <wp:docPr id="249"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43510" cy="175260"/>
                      <wp:effectExtent l="0" t="0" r="0" b="0"/>
                      <wp:wrapNone/>
                      <wp:docPr id="250" name="Frame1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24510" cy="175260"/>
                      <wp:effectExtent l="0" t="0" r="0" b="0"/>
                      <wp:wrapNone/>
                      <wp:docPr id="251" name="Frame14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43510" cy="175260"/>
                      <wp:effectExtent l="0" t="0" r="0" b="0"/>
                      <wp:wrapNone/>
                      <wp:docPr id="252" name="Frame1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48310" cy="175260"/>
                      <wp:effectExtent l="0" t="0" r="0" b="0"/>
                      <wp:wrapNone/>
                      <wp:docPr id="253" name="Frame14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43510" cy="175260"/>
                      <wp:effectExtent l="0" t="0" r="0" b="0"/>
                      <wp:wrapNone/>
                      <wp:docPr id="254" name="Frame1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810260" cy="175260"/>
                      <wp:effectExtent l="0" t="0" r="0" b="0"/>
                      <wp:wrapNone/>
                      <wp:docPr id="255" name="Frame14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43510" cy="175260"/>
                      <wp:effectExtent l="0" t="0" r="0" b="0"/>
                      <wp:wrapNone/>
                      <wp:docPr id="256" name="Frame1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810260" cy="175260"/>
                      <wp:effectExtent l="0" t="0" r="0" b="0"/>
                      <wp:wrapNone/>
                      <wp:docPr id="257" name="Frame14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3510" cy="175260"/>
                      <wp:effectExtent l="0" t="0" r="0" b="0"/>
                      <wp:wrapNone/>
                      <wp:docPr id="258" name="Frame1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810260" cy="175260"/>
                      <wp:effectExtent l="0" t="0" r="0" b="0"/>
                      <wp:wrapNone/>
                      <wp:docPr id="259" name="Frame148"/>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3510" cy="175260"/>
                      <wp:effectExtent l="0" t="0" r="0" b="0"/>
                      <wp:wrapNone/>
                      <wp:docPr id="260" name="Frame1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91185" cy="175260"/>
                      <wp:effectExtent l="0" t="0" r="0" b="0"/>
                      <wp:wrapNone/>
                      <wp:docPr id="261" name="Frame1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4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7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 in</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pPr>
            <w:r>
              <w:rPr/>
              <w:t>​</w:t>
            </w:r>
          </w:p>
        </w:tc>
      </w:tr>
      <w:tr>
        <w:trPr/>
        <w:tc>
          <w:tcPr>
            <w:tcW w:w="85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4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7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Pension Value</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pPr>
            <w:r>
              <w:rPr/>
              <w:t>​</w:t>
            </w:r>
          </w:p>
        </w:tc>
      </w:tr>
      <w:tr>
        <w:trPr/>
        <w:tc>
          <w:tcPr>
            <w:tcW w:w="85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4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7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and</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pPr>
            <w:r>
              <w:rPr/>
              <w:t>​</w:t>
            </w:r>
          </w:p>
        </w:tc>
      </w:tr>
      <w:tr>
        <w:trPr/>
        <w:tc>
          <w:tcPr>
            <w:tcW w:w="85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4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7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Non-Equity</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Nonqualified</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pPr>
            <w:r>
              <w:rPr/>
              <w:t>​</w:t>
            </w:r>
          </w:p>
        </w:tc>
      </w:tr>
      <w:tr>
        <w:trPr/>
        <w:tc>
          <w:tcPr>
            <w:tcW w:w="85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4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7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Incentive</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Deferred</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pPr>
            <w:r>
              <w:rPr/>
              <w:t>​</w:t>
            </w:r>
          </w:p>
        </w:tc>
      </w:tr>
      <w:tr>
        <w:trPr/>
        <w:tc>
          <w:tcPr>
            <w:tcW w:w="85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4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226" w:type="dxa"/>
            <w:tcBorders/>
            <w:shd w:fill="E5E5E5" w:val="clear"/>
            <w:vAlign w:val="center"/>
          </w:tcPr>
          <w:p>
            <w:pPr>
              <w:pStyle w:val="TableContents"/>
              <w:bidi w:val="0"/>
              <w:spacing w:before="0" w:after="0"/>
              <w:ind w:left="0" w:right="0" w:hanging="0"/>
              <w:jc w:val="left"/>
              <w:rPr/>
            </w:pPr>
            <w:r>
              <w:rPr/>
              <w:t>​</w:t>
            </w:r>
          </w:p>
        </w:tc>
        <w:tc>
          <w:tcPr>
            <w:tcW w:w="70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Plan</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All Other</w:t>
            </w:r>
          </w:p>
        </w:tc>
        <w:tc>
          <w:tcPr>
            <w:tcW w:w="22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pPr>
            <w:r>
              <w:rPr/>
              <w:t>​</w:t>
            </w:r>
          </w:p>
        </w:tc>
      </w:tr>
      <w:tr>
        <w:trPr/>
        <w:tc>
          <w:tcPr>
            <w:tcW w:w="856"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 and</w:t>
            </w:r>
          </w:p>
        </w:tc>
        <w:tc>
          <w:tcPr>
            <w:tcW w:w="226" w:type="dxa"/>
            <w:tcBorders/>
            <w:shd w:fill="E5E5E5" w:val="clear"/>
            <w:vAlign w:val="center"/>
          </w:tcPr>
          <w:p>
            <w:pPr>
              <w:pStyle w:val="TableContents"/>
              <w:bidi w:val="0"/>
              <w:spacing w:before="0" w:after="0"/>
              <w:ind w:left="0" w:right="0" w:hanging="0"/>
              <w:jc w:val="left"/>
              <w:rPr/>
            </w:pPr>
            <w:r>
              <w:rPr/>
              <w:t>​</w:t>
            </w:r>
          </w:p>
        </w:tc>
        <w:tc>
          <w:tcPr>
            <w:tcW w:w="4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Salary</w:t>
            </w:r>
          </w:p>
        </w:tc>
        <w:tc>
          <w:tcPr>
            <w:tcW w:w="226" w:type="dxa"/>
            <w:tcBorders/>
            <w:shd w:fill="E5E5E5" w:val="clear"/>
            <w:vAlign w:val="center"/>
          </w:tcPr>
          <w:p>
            <w:pPr>
              <w:pStyle w:val="TableContents"/>
              <w:bidi w:val="0"/>
              <w:spacing w:before="0" w:after="0"/>
              <w:ind w:left="0" w:right="0" w:hanging="0"/>
              <w:jc w:val="left"/>
              <w:rPr/>
            </w:pPr>
            <w:r>
              <w:rPr/>
              <w:t>​</w:t>
            </w:r>
          </w:p>
        </w:tc>
        <w:tc>
          <w:tcPr>
            <w:tcW w:w="69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Bonus</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Awards</w:t>
            </w:r>
          </w:p>
        </w:tc>
        <w:tc>
          <w:tcPr>
            <w:tcW w:w="226" w:type="dxa"/>
            <w:tcBorders/>
            <w:shd w:fill="E5E5E5" w:val="clear"/>
            <w:vAlign w:val="center"/>
          </w:tcPr>
          <w:p>
            <w:pPr>
              <w:pStyle w:val="TableContents"/>
              <w:bidi w:val="0"/>
              <w:spacing w:before="0" w:after="0"/>
              <w:ind w:left="0" w:right="0" w:hanging="0"/>
              <w:jc w:val="left"/>
              <w:rPr/>
            </w:pPr>
            <w:r>
              <w:rPr/>
              <w:t>​</w:t>
            </w:r>
          </w:p>
        </w:tc>
        <w:tc>
          <w:tcPr>
            <w:tcW w:w="70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Awards</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Earnings</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226" w:type="dxa"/>
            <w:tcBorders/>
            <w:shd w:fill="E5E5E5" w:val="clear"/>
            <w:vAlign w:val="center"/>
          </w:tcPr>
          <w:p>
            <w:pPr>
              <w:pStyle w:val="TableContents"/>
              <w:bidi w:val="0"/>
              <w:spacing w:before="0" w:after="0"/>
              <w:ind w:left="0" w:right="0" w:hanging="0"/>
              <w:jc w:val="left"/>
              <w:rPr/>
            </w:pPr>
            <w:r>
              <w:rPr/>
              <w:t>​</w:t>
            </w:r>
          </w:p>
        </w:tc>
        <w:tc>
          <w:tcPr>
            <w:tcW w:w="93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856"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Principal Position</w:t>
            </w:r>
          </w:p>
        </w:tc>
        <w:tc>
          <w:tcPr>
            <w:tcW w:w="226" w:type="dxa"/>
            <w:tcBorders/>
            <w:shd w:fill="E5E5E5" w:val="clear"/>
            <w:vAlign w:val="center"/>
          </w:tcPr>
          <w:p>
            <w:pPr>
              <w:pStyle w:val="TableContents"/>
              <w:bidi w:val="0"/>
              <w:spacing w:before="0" w:after="0"/>
              <w:ind w:left="0" w:right="0" w:hanging="0"/>
              <w:jc w:val="left"/>
              <w:rPr/>
            </w:pPr>
            <w:r>
              <w:rPr/>
              <w:t>  ​</w:t>
            </w:r>
          </w:p>
        </w:tc>
        <w:tc>
          <w:tcPr>
            <w:tcW w:w="46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Year</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($)(4)</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($)(5)</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w:t>
            </w:r>
          </w:p>
        </w:tc>
        <w:tc>
          <w:tcPr>
            <w:tcW w:w="22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Sanjay Chowbey</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937,141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4,776,510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1,511,496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131,099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7,356,246</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President and</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925,000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3,052,941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643,060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73,632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4,694,633</w:t>
            </w:r>
          </w:p>
        </w:tc>
      </w:tr>
      <w:tr>
        <w:trPr/>
        <w:tc>
          <w:tcPr>
            <w:tcW w:w="8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Chief Executive Officer</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527,304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865,913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344,302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56,578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1,794,097</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Patrick Watson</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536,813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1,531,635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590,073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61,377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2,719,898</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Vice President and</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518,750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746,177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248,850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59,662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1,573,439</w:t>
            </w:r>
          </w:p>
        </w:tc>
      </w:tr>
      <w:tr>
        <w:trPr/>
        <w:tc>
          <w:tcPr>
            <w:tcW w:w="8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Chief Financial Officer</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475,000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513,038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281,750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53,267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1,323,055</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Dave Bersaglini</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529,750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1,193,123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571,932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30,173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2,324,977</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Vice President and</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437,273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125,000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776,669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192,471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26,465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1,557,878</w:t>
            </w:r>
          </w:p>
        </w:tc>
      </w:tr>
      <w:tr>
        <w:trPr/>
        <w:tc>
          <w:tcPr>
            <w:tcW w:w="8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President, Metal Cutting Segment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Faisal Hamadi</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432,969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959,894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482,425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47,274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1,922,561</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Vice President and</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411,285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541,275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179,556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209,784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1,391,900</w:t>
            </w:r>
          </w:p>
        </w:tc>
      </w:tr>
      <w:tr>
        <w:trPr/>
        <w:tc>
          <w:tcPr>
            <w:tcW w:w="8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President, Infrastructure Segment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NA</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Michelle Keating</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444,662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1,110,489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392,837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43,071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1,991,059</w:t>
            </w:r>
          </w:p>
        </w:tc>
      </w:tr>
      <w:tr>
        <w:trPr/>
        <w:tc>
          <w:tcPr>
            <w:tcW w:w="8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Vice President</w:t>
            </w:r>
          </w:p>
        </w:tc>
        <w:tc>
          <w:tcPr>
            <w:tcW w:w="226" w:type="dxa"/>
            <w:tcBorders/>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425,528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608,652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162,544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38,342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1,235,066</w:t>
            </w:r>
          </w:p>
        </w:tc>
      </w:tr>
      <w:tr>
        <w:trPr/>
        <w:tc>
          <w:tcPr>
            <w:tcW w:w="85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Secretary and General Counsel</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416,164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506,278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201,007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39,546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1,162,995</w:t>
            </w:r>
          </w:p>
        </w:tc>
      </w:tr>
    </w:tbl>
    <w:p>
      <w:pPr>
        <w:pStyle w:val="TextBody"/>
        <w:bidi w:val="0"/>
        <w:spacing w:before="0" w:after="0"/>
        <w:ind w:left="0" w:right="0" w:hanging="0"/>
        <w:jc w:val="left"/>
        <w:rPr/>
      </w:pPr>
      <w:r>
        <w:rPr/>
        <w:t>​</w:t>
      </w:r>
    </w:p>
    <w:p>
      <w:pPr>
        <w:pStyle w:val="TextBody"/>
        <w:pBdr/>
        <w:bidi w:val="0"/>
        <w:spacing w:before="0" w:after="80"/>
        <w:ind w:left="0" w:right="0" w:hanging="360"/>
        <w:jc w:val="left"/>
        <w:rPr>
          <w:rFonts w:ascii="Arial;Helvetica;sans-serif" w:hAnsi="Arial;Helvetica;sans-serif"/>
          <w:i/>
          <w:sz w:val="20"/>
        </w:rPr>
      </w:pPr>
      <w:r>
        <w:rPr>
          <w:rFonts w:ascii="Arial;Helvetica;sans-serif" w:hAnsi="Arial;Helvetica;sans-serif"/>
          <w:i/>
          <w:sz w:val="20"/>
        </w:rPr>
        <w:t>Notes and Supplemental Tables to the Summary Compensation Table</w:t>
      </w:r>
    </w:p>
    <w:tbl>
      <w:tblPr>
        <w:tblW w:w="8702" w:type="dxa"/>
        <w:jc w:val="left"/>
        <w:tblInd w:w="0" w:type="dxa"/>
        <w:tblLayout w:type="fixed"/>
        <w:tblCellMar>
          <w:top w:w="0" w:type="dxa"/>
          <w:left w:w="0" w:type="dxa"/>
          <w:bottom w:w="0" w:type="dxa"/>
          <w:right w:w="0" w:type="dxa"/>
        </w:tblCellMar>
      </w:tblPr>
      <w:tblGrid>
        <w:gridCol w:w="346"/>
        <w:gridCol w:w="835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83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column includes any salary deferred by executives into the Kennametal Restoration Plan.</w:t>
            </w:r>
          </w:p>
        </w:tc>
      </w:tr>
    </w:tbl>
    <w:tbl>
      <w:tblPr>
        <w:tblW w:w="10037" w:type="dxa"/>
        <w:jc w:val="left"/>
        <w:tblInd w:w="0" w:type="dxa"/>
        <w:tblLayout w:type="fixed"/>
        <w:tblCellMar>
          <w:top w:w="0" w:type="dxa"/>
          <w:left w:w="0" w:type="dxa"/>
          <w:bottom w:w="0" w:type="dxa"/>
          <w:right w:w="0" w:type="dxa"/>
        </w:tblCellMar>
      </w:tblPr>
      <w:tblGrid>
        <w:gridCol w:w="346"/>
        <w:gridCol w:w="96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6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amounts reflect one-time cash sign on bonuses for Messrs. Bersaglini and Hamadi paid in Fiscal 2025.</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amounts reflect the aggregate grant date fair value of stock awards granted in the fiscal years noted and are calculated in accordance with FASB ASC Topic 718 (excluding the effect of estimated forfeitures). Please refer to Note 18 to the financial statements included in Kennametal’s Annual Report on Form 10-K for 2026 for a discussion of additional assumptions used in calculating grant date fair value. The amounts in this column include RSU and PSU awards. The values included for each fiscal year’s PSU awards reflect only the PSUs for which performance criteria were established in that fiscal year and the vesting of such awards at target. If tranche one of the PSUs awarded in Fiscal 2026 tied to Fiscal 2026 Adjusted ROIC, the PSUs awarded in Fiscal 2026 tied to Fiscal 2026 through Fiscal 2028 Adjusted EBITDA Margin, tranche two of the PSUs awarded in Fiscal 2025 tied to Fiscal 2026 Adjusted ROIC, and tranche three of the PSUs awarded in Fiscal 2024 tied to Fiscal 2026 Adjusted ROIC were to be paid out at the maximum amount of 200%, the value of these awards for Messrs. Chowbey, Watson, Bersaglini, Hamadi, and Ms. Keating be $4,470,643, $1,181,449, $744,577, $578,058, and $816,947, respectively. For information with respect to the individual RSU awards and PSU awards made for Fiscal 2026, please see the 2026 Grants of Plan-Based Awards Table.</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6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amounts are cash payments earned by the NEOs under the AIP, which is discussed in further detail in the CD&amp;A.</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61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6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2" descr=""/>
                    <pic:cNvPicPr>
                      <a:picLocks noChangeAspect="1" noChangeArrowheads="1"/>
                    </pic:cNvPicPr>
                  </pic:nvPicPr>
                  <pic:blipFill>
                    <a:blip r:embed="rId11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ANALYSIS OF RISK INHERENT IN OUR COMPENSATION POLICIES AND PRACTICES</w:t>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8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No NEOs participate in a pension plan. We do not provide preferential or above-market earnings on deferred compensation. </w:t>
            </w:r>
          </w:p>
        </w:tc>
      </w:tr>
    </w:tbl>
    <w:tbl>
      <w:tblPr>
        <w:tblW w:w="7952" w:type="dxa"/>
        <w:jc w:val="left"/>
        <w:tblInd w:w="0" w:type="dxa"/>
        <w:tblLayout w:type="fixed"/>
        <w:tblCellMar>
          <w:top w:w="0" w:type="dxa"/>
          <w:left w:w="0" w:type="dxa"/>
          <w:bottom w:w="0" w:type="dxa"/>
          <w:right w:w="0" w:type="dxa"/>
        </w:tblCellMar>
      </w:tblPr>
      <w:tblGrid>
        <w:gridCol w:w="346"/>
        <w:gridCol w:w="76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76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describes each component of the All Other Compensation column:</w:t>
            </w:r>
          </w:p>
        </w:tc>
      </w:tr>
    </w:tbl>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Supplemental Table to the Summary Compensation Table</w:t>
      </w:r>
    </w:p>
    <w:tbl>
      <w:tblPr>
        <w:tblW w:w="8651" w:type="dxa"/>
        <w:jc w:val="left"/>
        <w:tblInd w:w="0" w:type="dxa"/>
        <w:tblLayout w:type="fixed"/>
        <w:tblCellMar>
          <w:top w:w="0" w:type="dxa"/>
          <w:left w:w="0" w:type="dxa"/>
          <w:bottom w:w="0" w:type="dxa"/>
          <w:right w:w="0" w:type="dxa"/>
        </w:tblCellMar>
      </w:tblPr>
      <w:tblGrid>
        <w:gridCol w:w="1576"/>
        <w:gridCol w:w="346"/>
        <w:gridCol w:w="766"/>
        <w:gridCol w:w="346"/>
        <w:gridCol w:w="1426"/>
        <w:gridCol w:w="346"/>
        <w:gridCol w:w="1426"/>
        <w:gridCol w:w="346"/>
        <w:gridCol w:w="886"/>
        <w:gridCol w:w="346"/>
        <w:gridCol w:w="84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000760" cy="175260"/>
                      <wp:effectExtent l="0" t="0" r="0" b="0"/>
                      <wp:wrapNone/>
                      <wp:docPr id="263" name="Frame15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264"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86410" cy="175260"/>
                      <wp:effectExtent l="0" t="0" r="0" b="0"/>
                      <wp:wrapNone/>
                      <wp:docPr id="265" name="Frame15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266"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905510" cy="175260"/>
                      <wp:effectExtent l="0" t="0" r="0" b="0"/>
                      <wp:wrapNone/>
                      <wp:docPr id="267" name="Frame155"/>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268"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05510" cy="175260"/>
                      <wp:effectExtent l="0" t="0" r="0" b="0"/>
                      <wp:wrapNone/>
                      <wp:docPr id="269" name="Frame15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270"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62610" cy="175260"/>
                      <wp:effectExtent l="0" t="0" r="0" b="0"/>
                      <wp:wrapNone/>
                      <wp:docPr id="271" name="Frame1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272"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34035" cy="175260"/>
                      <wp:effectExtent l="0" t="0" r="0" b="0"/>
                      <wp:wrapNone/>
                      <wp:docPr id="273" name="Frame1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Perq./</w:t>
            </w:r>
          </w:p>
        </w:tc>
        <w:tc>
          <w:tcPr>
            <w:tcW w:w="346" w:type="dxa"/>
            <w:tcBorders/>
            <w:shd w:fill="E5E5E5" w:val="clear"/>
            <w:vAlign w:val="center"/>
          </w:tcPr>
          <w:p>
            <w:pPr>
              <w:pStyle w:val="TableContents"/>
              <w:bidi w:val="0"/>
              <w:spacing w:before="0" w:after="1"/>
              <w:ind w:left="0" w:right="0" w:hanging="0"/>
              <w:jc w:val="left"/>
              <w:rPr/>
            </w:pPr>
            <w:r>
              <w:rPr/>
              <w:t>​</w:t>
            </w:r>
          </w:p>
        </w:tc>
        <w:tc>
          <w:tcPr>
            <w:tcW w:w="142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42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88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841" w:type="dxa"/>
            <w:tcBorders/>
            <w:shd w:fill="E5E5E5" w:val="clear"/>
            <w:vAlign w:val="center"/>
          </w:tcPr>
          <w:p>
            <w:pPr>
              <w:pStyle w:val="TableContents"/>
              <w:bidi w:val="0"/>
              <w:spacing w:before="0" w:after="1"/>
              <w:ind w:left="0" w:right="0" w:hanging="0"/>
              <w:jc w:val="center"/>
              <w:rPr/>
            </w:pPr>
            <w:r>
              <w:rPr/>
              <w:t>​</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46" w:type="dxa"/>
            <w:tcBorders/>
            <w:shd w:fill="E5E5E5" w:val="clear"/>
            <w:vAlign w:val="center"/>
          </w:tcPr>
          <w:p>
            <w:pPr>
              <w:pStyle w:val="TableContents"/>
              <w:bidi w:val="0"/>
              <w:spacing w:before="0" w:after="1"/>
              <w:ind w:left="0" w:right="0" w:hanging="0"/>
              <w:jc w:val="left"/>
              <w:rPr/>
            </w:pPr>
            <w:r>
              <w:rPr/>
              <w:t>​</w:t>
            </w:r>
          </w:p>
        </w:tc>
        <w:tc>
          <w:tcPr>
            <w:tcW w:w="142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Contributions to</w:t>
            </w:r>
          </w:p>
        </w:tc>
        <w:tc>
          <w:tcPr>
            <w:tcW w:w="346" w:type="dxa"/>
            <w:tcBorders/>
            <w:shd w:fill="E5E5E5" w:val="clear"/>
            <w:vAlign w:val="center"/>
          </w:tcPr>
          <w:p>
            <w:pPr>
              <w:pStyle w:val="TableContents"/>
              <w:bidi w:val="0"/>
              <w:spacing w:before="0" w:after="1"/>
              <w:ind w:left="0" w:right="0" w:hanging="0"/>
              <w:jc w:val="left"/>
              <w:rPr/>
            </w:pPr>
            <w:r>
              <w:rPr/>
              <w:t>​</w:t>
            </w:r>
          </w:p>
        </w:tc>
        <w:tc>
          <w:tcPr>
            <w:tcW w:w="142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Contributions to</w:t>
            </w:r>
          </w:p>
        </w:tc>
        <w:tc>
          <w:tcPr>
            <w:tcW w:w="346" w:type="dxa"/>
            <w:tcBorders/>
            <w:shd w:fill="E5E5E5" w:val="clear"/>
            <w:vAlign w:val="center"/>
          </w:tcPr>
          <w:p>
            <w:pPr>
              <w:pStyle w:val="TableContents"/>
              <w:bidi w:val="0"/>
              <w:spacing w:before="0" w:after="1"/>
              <w:ind w:left="0" w:right="0" w:hanging="0"/>
              <w:jc w:val="left"/>
              <w:rPr/>
            </w:pPr>
            <w:r>
              <w:rPr/>
              <w:t>​</w:t>
            </w:r>
          </w:p>
        </w:tc>
        <w:tc>
          <w:tcPr>
            <w:tcW w:w="88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Life</w:t>
            </w:r>
          </w:p>
        </w:tc>
        <w:tc>
          <w:tcPr>
            <w:tcW w:w="346" w:type="dxa"/>
            <w:tcBorders/>
            <w:shd w:fill="E5E5E5" w:val="clear"/>
            <w:vAlign w:val="center"/>
          </w:tcPr>
          <w:p>
            <w:pPr>
              <w:pStyle w:val="TableContents"/>
              <w:bidi w:val="0"/>
              <w:spacing w:before="0" w:after="1"/>
              <w:ind w:left="0" w:right="0" w:hanging="0"/>
              <w:jc w:val="left"/>
              <w:rPr/>
            </w:pPr>
            <w:r>
              <w:rPr/>
              <w:t>​</w:t>
            </w:r>
          </w:p>
        </w:tc>
        <w:tc>
          <w:tcPr>
            <w:tcW w:w="841" w:type="dxa"/>
            <w:tcBorders/>
            <w:shd w:fill="E5E5E5" w:val="clear"/>
            <w:vAlign w:val="center"/>
          </w:tcPr>
          <w:p>
            <w:pPr>
              <w:pStyle w:val="TableContents"/>
              <w:bidi w:val="0"/>
              <w:spacing w:before="0" w:after="1"/>
              <w:ind w:left="0" w:right="0" w:hanging="0"/>
              <w:jc w:val="center"/>
              <w:rPr/>
            </w:pPr>
            <w:r>
              <w:rPr/>
              <w:t>​</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Benefits</w:t>
            </w:r>
          </w:p>
        </w:tc>
        <w:tc>
          <w:tcPr>
            <w:tcW w:w="346" w:type="dxa"/>
            <w:tcBorders/>
            <w:shd w:fill="E5E5E5" w:val="clear"/>
            <w:vAlign w:val="center"/>
          </w:tcPr>
          <w:p>
            <w:pPr>
              <w:pStyle w:val="TableContents"/>
              <w:bidi w:val="0"/>
              <w:spacing w:before="0" w:after="1"/>
              <w:ind w:left="0" w:right="0" w:hanging="0"/>
              <w:jc w:val="left"/>
              <w:rPr/>
            </w:pPr>
            <w:r>
              <w:rPr/>
              <w:t>​</w:t>
            </w:r>
          </w:p>
        </w:tc>
        <w:tc>
          <w:tcPr>
            <w:tcW w:w="142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Thrift Plus Plan</w:t>
            </w:r>
          </w:p>
        </w:tc>
        <w:tc>
          <w:tcPr>
            <w:tcW w:w="346" w:type="dxa"/>
            <w:tcBorders/>
            <w:shd w:fill="E5E5E5" w:val="clear"/>
            <w:vAlign w:val="center"/>
          </w:tcPr>
          <w:p>
            <w:pPr>
              <w:pStyle w:val="TableContents"/>
              <w:bidi w:val="0"/>
              <w:spacing w:before="0" w:after="1"/>
              <w:ind w:left="0" w:right="0" w:hanging="0"/>
              <w:jc w:val="left"/>
              <w:rPr/>
            </w:pPr>
            <w:r>
              <w:rPr/>
              <w:t>​</w:t>
            </w:r>
          </w:p>
        </w:tc>
        <w:tc>
          <w:tcPr>
            <w:tcW w:w="142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Restoration Plan</w:t>
            </w:r>
          </w:p>
        </w:tc>
        <w:tc>
          <w:tcPr>
            <w:tcW w:w="346" w:type="dxa"/>
            <w:tcBorders/>
            <w:shd w:fill="E5E5E5" w:val="clear"/>
            <w:vAlign w:val="center"/>
          </w:tcPr>
          <w:p>
            <w:pPr>
              <w:pStyle w:val="TableContents"/>
              <w:bidi w:val="0"/>
              <w:spacing w:before="0" w:after="1"/>
              <w:ind w:left="0" w:right="0" w:hanging="0"/>
              <w:jc w:val="left"/>
              <w:rPr/>
            </w:pPr>
            <w:r>
              <w:rPr/>
              <w:t>​</w:t>
            </w:r>
          </w:p>
        </w:tc>
        <w:tc>
          <w:tcPr>
            <w:tcW w:w="88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Insurance</w:t>
            </w:r>
          </w:p>
        </w:tc>
        <w:tc>
          <w:tcPr>
            <w:tcW w:w="346" w:type="dxa"/>
            <w:tcBorders/>
            <w:shd w:fill="E5E5E5" w:val="clear"/>
            <w:vAlign w:val="center"/>
          </w:tcPr>
          <w:p>
            <w:pPr>
              <w:pStyle w:val="TableContents"/>
              <w:bidi w:val="0"/>
              <w:spacing w:before="0" w:after="1"/>
              <w:ind w:left="0" w:right="0" w:hanging="0"/>
              <w:jc w:val="left"/>
              <w:rPr/>
            </w:pPr>
            <w:r>
              <w:rPr/>
              <w:t>​</w:t>
            </w:r>
          </w:p>
        </w:tc>
        <w:tc>
          <w:tcPr>
            <w:tcW w:w="841" w:type="dxa"/>
            <w:tcBorders/>
            <w:shd w:fill="E5E5E5" w:val="clear"/>
            <w:vAlign w:val="center"/>
          </w:tcPr>
          <w:p>
            <w:pPr>
              <w:pStyle w:val="TableContents"/>
              <w:bidi w:val="0"/>
              <w:spacing w:before="0" w:after="1"/>
              <w:ind w:left="0" w:right="0" w:hanging="0"/>
              <w:jc w:val="center"/>
              <w:rPr/>
            </w:pPr>
            <w:r>
              <w:rPr/>
              <w:t>​</w:t>
            </w:r>
          </w:p>
        </w:tc>
      </w:tr>
      <w:tr>
        <w:trPr/>
        <w:tc>
          <w:tcPr>
            <w:tcW w:w="157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76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(a)</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42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42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88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84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 ($)</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21,812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104,386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131,099</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21,473</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37,834</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2,070</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61,377</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9,100</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19,029</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2,044</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30,173</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25,189</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21,392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47,274</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18,782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22,892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7F7F7F"/>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43,071</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88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column includes payments made as part of our executive physical program for Mr. Bersaglini and Mr. Hamadi, and reimbursement of moving expenses for Mr. Hamadi.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8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column includes our contributions on behalf of the NEOs under the TPP. Please see “2026 Nonqualified Deferred Compensation and Retirement Programs” for more details about the TPP.</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89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This column includes our contributions on behalf of the NEOs under the Restoration Plan. Please see the discussion included in the “</w:t>
            </w:r>
            <w:r>
              <w:rPr>
                <w:rFonts w:ascii="Arial;Helvetica;sans-serif" w:hAnsi="Arial;Helvetica;sans-serif"/>
                <w:b w:val="false"/>
                <w:i/>
                <w:sz w:val="20"/>
              </w:rPr>
              <w:t>Retirement Plans</w:t>
            </w:r>
            <w:r>
              <w:rPr>
                <w:caps w:val="false"/>
                <w:smallCaps w:val="false"/>
              </w:rPr>
              <w:t xml:space="preserve">” </w:t>
            </w:r>
            <w:r>
              <w:rPr>
                <w:rFonts w:ascii="Arial;Helvetica;sans-serif" w:hAnsi="Arial;Helvetica;sans-serif"/>
                <w:b w:val="false"/>
                <w:i w:val="false"/>
                <w:caps w:val="false"/>
                <w:smallCaps w:val="false"/>
                <w:sz w:val="20"/>
              </w:rPr>
              <w:t>section of the CD&amp;A for more details about the Restoration Plan. Also refer to the Nonqualified Deferred Compensation section.</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87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column includes income imputed to each executive for Company-provided life insurance as part of the broad-based benefits program.</w:t>
            </w:r>
          </w:p>
        </w:tc>
      </w:tr>
    </w:tbl>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62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7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13" descr=""/>
                    <pic:cNvPicPr>
                      <a:picLocks noChangeAspect="1" noChangeArrowheads="1"/>
                    </pic:cNvPicPr>
                  </pic:nvPicPr>
                  <pic:blipFill>
                    <a:blip r:embed="rId114"/>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ANALYSIS OF RISK INHERENT IN OUR COMPENSATION POLICIES AND PRACTICES</w:t>
      </w:r>
    </w:p>
    <w:p>
      <w:pPr>
        <w:pStyle w:val="TextBody"/>
        <w:bidi w:val="0"/>
        <w:spacing w:before="0" w:after="80"/>
        <w:ind w:left="0" w:right="0" w:hanging="0"/>
        <w:jc w:val="left"/>
        <w:rPr>
          <w:rFonts w:ascii="Arial;Helvetica;sans-serif" w:hAnsi="Arial;Helvetica;sans-serif"/>
          <w:b w:val="false"/>
          <w:sz w:val="24"/>
        </w:rPr>
      </w:pPr>
      <w:r>
        <w:rPr>
          <w:rFonts w:ascii="Arial;Helvetica;sans-serif" w:hAnsi="Arial;Helvetica;sans-serif"/>
          <w:b w:val="false"/>
          <w:sz w:val="24"/>
        </w:rPr>
        <w:t>2026 Grants of Plan-Based Awards</w:t>
      </w:r>
    </w:p>
    <w:tbl>
      <w:tblPr>
        <w:tblW w:w="10883" w:type="dxa"/>
        <w:jc w:val="left"/>
        <w:tblInd w:w="0" w:type="dxa"/>
        <w:tblLayout w:type="fixed"/>
        <w:tblCellMar>
          <w:top w:w="0" w:type="dxa"/>
          <w:left w:w="0" w:type="dxa"/>
          <w:bottom w:w="0" w:type="dxa"/>
          <w:right w:w="0" w:type="dxa"/>
        </w:tblCellMar>
      </w:tblPr>
      <w:tblGrid>
        <w:gridCol w:w="721"/>
        <w:gridCol w:w="226"/>
        <w:gridCol w:w="466"/>
        <w:gridCol w:w="226"/>
        <w:gridCol w:w="736"/>
        <w:gridCol w:w="226"/>
        <w:gridCol w:w="721"/>
        <w:gridCol w:w="226"/>
        <w:gridCol w:w="721"/>
        <w:gridCol w:w="226"/>
        <w:gridCol w:w="736"/>
        <w:gridCol w:w="226"/>
        <w:gridCol w:w="526"/>
        <w:gridCol w:w="226"/>
        <w:gridCol w:w="721"/>
        <w:gridCol w:w="226"/>
        <w:gridCol w:w="766"/>
        <w:gridCol w:w="226"/>
        <w:gridCol w:w="796"/>
        <w:gridCol w:w="226"/>
        <w:gridCol w:w="676"/>
        <w:gridCol w:w="226"/>
        <w:gridCol w:w="811"/>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57835" cy="175260"/>
                      <wp:effectExtent l="0" t="0" r="0" b="0"/>
                      <wp:wrapNone/>
                      <wp:docPr id="275" name="Frame16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3510" cy="175260"/>
                      <wp:effectExtent l="0" t="0" r="0" b="0"/>
                      <wp:wrapNone/>
                      <wp:docPr id="276" name="Frame1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95910" cy="175260"/>
                      <wp:effectExtent l="0" t="0" r="0" b="0"/>
                      <wp:wrapNone/>
                      <wp:docPr id="277" name="Frame16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43510" cy="175260"/>
                      <wp:effectExtent l="0" t="0" r="0" b="0"/>
                      <wp:wrapNone/>
                      <wp:docPr id="278" name="Frame1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67360" cy="175260"/>
                      <wp:effectExtent l="0" t="0" r="0" b="0"/>
                      <wp:wrapNone/>
                      <wp:docPr id="279" name="Frame16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3510" cy="175260"/>
                      <wp:effectExtent l="0" t="0" r="0" b="0"/>
                      <wp:wrapNone/>
                      <wp:docPr id="280" name="Frame1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57835" cy="175260"/>
                      <wp:effectExtent l="0" t="0" r="0" b="0"/>
                      <wp:wrapNone/>
                      <wp:docPr id="281" name="Frame1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3510" cy="175260"/>
                      <wp:effectExtent l="0" t="0" r="0" b="0"/>
                      <wp:wrapNone/>
                      <wp:docPr id="282" name="Frame1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57835" cy="175260"/>
                      <wp:effectExtent l="0" t="0" r="0" b="0"/>
                      <wp:wrapNone/>
                      <wp:docPr id="283" name="Frame1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3510" cy="175260"/>
                      <wp:effectExtent l="0" t="0" r="0" b="0"/>
                      <wp:wrapNone/>
                      <wp:docPr id="284" name="Frame1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67360" cy="175260"/>
                      <wp:effectExtent l="0" t="0" r="0" b="0"/>
                      <wp:wrapNone/>
                      <wp:docPr id="285" name="Frame17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43510" cy="175260"/>
                      <wp:effectExtent l="0" t="0" r="0" b="0"/>
                      <wp:wrapNone/>
                      <wp:docPr id="286" name="Frame1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34010" cy="175260"/>
                      <wp:effectExtent l="0" t="0" r="0" b="0"/>
                      <wp:wrapNone/>
                      <wp:docPr id="287" name="Frame17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43510" cy="175260"/>
                      <wp:effectExtent l="0" t="0" r="0" b="0"/>
                      <wp:wrapNone/>
                      <wp:docPr id="288" name="Frame1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57835" cy="175260"/>
                      <wp:effectExtent l="0" t="0" r="0" b="0"/>
                      <wp:wrapNone/>
                      <wp:docPr id="289" name="Frame1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43510" cy="175260"/>
                      <wp:effectExtent l="0" t="0" r="0" b="0"/>
                      <wp:wrapNone/>
                      <wp:docPr id="290" name="Frame1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86410" cy="175260"/>
                      <wp:effectExtent l="0" t="0" r="0" b="0"/>
                      <wp:wrapNone/>
                      <wp:docPr id="291" name="Frame17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43510" cy="175260"/>
                      <wp:effectExtent l="0" t="0" r="0" b="0"/>
                      <wp:wrapNone/>
                      <wp:docPr id="292" name="Frame1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05460" cy="175260"/>
                      <wp:effectExtent l="0" t="0" r="0" b="0"/>
                      <wp:wrapNone/>
                      <wp:docPr id="293" name="Frame1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3510" cy="175260"/>
                      <wp:effectExtent l="0" t="0" r="0" b="0"/>
                      <wp:wrapNone/>
                      <wp:docPr id="294" name="Frame1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9260" cy="175260"/>
                      <wp:effectExtent l="0" t="0" r="0" b="0"/>
                      <wp:wrapNone/>
                      <wp:docPr id="295"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3510" cy="175260"/>
                      <wp:effectExtent l="0" t="0" r="0" b="0"/>
                      <wp:wrapNone/>
                      <wp:docPr id="296" name="Frame1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14985" cy="175260"/>
                      <wp:effectExtent l="0" t="0" r="0" b="0"/>
                      <wp:wrapNone/>
                      <wp:docPr id="297" name="Frame18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52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All Other</w:t>
            </w:r>
          </w:p>
        </w:tc>
        <w:tc>
          <w:tcPr>
            <w:tcW w:w="226" w:type="dxa"/>
            <w:tcBorders/>
            <w:shd w:fill="E5E5E5" w:val="clear"/>
            <w:vAlign w:val="center"/>
          </w:tcPr>
          <w:p>
            <w:pPr>
              <w:pStyle w:val="TableContents"/>
              <w:bidi w:val="0"/>
              <w:spacing w:before="0" w:after="1"/>
              <w:ind w:left="0" w:right="0" w:hanging="0"/>
              <w:jc w:val="left"/>
              <w:rPr/>
            </w:pPr>
            <w:r>
              <w:rPr/>
              <w:t>​</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All Other</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Grant</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52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w:t>
            </w:r>
          </w:p>
        </w:tc>
        <w:tc>
          <w:tcPr>
            <w:tcW w:w="226" w:type="dxa"/>
            <w:tcBorders/>
            <w:shd w:fill="E5E5E5" w:val="clear"/>
            <w:vAlign w:val="center"/>
          </w:tcPr>
          <w:p>
            <w:pPr>
              <w:pStyle w:val="TableContents"/>
              <w:bidi w:val="0"/>
              <w:spacing w:before="0" w:after="1"/>
              <w:ind w:left="0" w:right="0" w:hanging="0"/>
              <w:jc w:val="left"/>
              <w:rPr/>
            </w:pPr>
            <w:r>
              <w:rPr/>
              <w:t>​</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Option</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Date</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52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Awards:</w:t>
            </w:r>
          </w:p>
        </w:tc>
        <w:tc>
          <w:tcPr>
            <w:tcW w:w="226" w:type="dxa"/>
            <w:tcBorders/>
            <w:shd w:fill="E5E5E5" w:val="clear"/>
            <w:vAlign w:val="center"/>
          </w:tcPr>
          <w:p>
            <w:pPr>
              <w:pStyle w:val="TableContents"/>
              <w:bidi w:val="0"/>
              <w:spacing w:before="0" w:after="1"/>
              <w:ind w:left="0" w:right="0" w:hanging="0"/>
              <w:jc w:val="left"/>
              <w:rPr/>
            </w:pPr>
            <w:r>
              <w:rPr/>
              <w:t>​</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Awards:</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Exercise</w:t>
            </w:r>
          </w:p>
        </w:tc>
        <w:tc>
          <w:tcPr>
            <w:tcW w:w="226" w:type="dxa"/>
            <w:tcBorders/>
            <w:shd w:fill="E5E5E5" w:val="clear"/>
            <w:vAlign w:val="center"/>
          </w:tcPr>
          <w:p>
            <w:pPr>
              <w:pStyle w:val="TableContents"/>
              <w:bidi w:val="0"/>
              <w:spacing w:before="0" w:after="1"/>
              <w:ind w:left="0" w:right="0" w:hanging="0"/>
              <w:jc w:val="left"/>
              <w:rPr/>
            </w:pPr>
            <w:r>
              <w:rPr/>
              <w:t>​</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Fair Value</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30" w:type="dxa"/>
            <w:gridSpan w:val="5"/>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Estimated Future Payouts</w:t>
            </w:r>
          </w:p>
        </w:tc>
        <w:tc>
          <w:tcPr>
            <w:tcW w:w="226" w:type="dxa"/>
            <w:tcBorders/>
            <w:shd w:fill="E5E5E5" w:val="clear"/>
            <w:vAlign w:val="center"/>
          </w:tcPr>
          <w:p>
            <w:pPr>
              <w:pStyle w:val="TableContents"/>
              <w:bidi w:val="0"/>
              <w:spacing w:before="0" w:after="1"/>
              <w:ind w:left="0" w:right="0" w:hanging="0"/>
              <w:jc w:val="left"/>
              <w:rPr/>
            </w:pPr>
            <w:r>
              <w:rPr/>
              <w:t>​</w:t>
            </w:r>
          </w:p>
        </w:tc>
        <w:tc>
          <w:tcPr>
            <w:tcW w:w="2435" w:type="dxa"/>
            <w:gridSpan w:val="5"/>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Estimated Future Payouts</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Number of</w:t>
            </w:r>
          </w:p>
        </w:tc>
        <w:tc>
          <w:tcPr>
            <w:tcW w:w="226" w:type="dxa"/>
            <w:tcBorders/>
            <w:shd w:fill="E5E5E5" w:val="clear"/>
            <w:vAlign w:val="center"/>
          </w:tcPr>
          <w:p>
            <w:pPr>
              <w:pStyle w:val="TableContents"/>
              <w:bidi w:val="0"/>
              <w:spacing w:before="0" w:after="1"/>
              <w:ind w:left="0" w:right="0" w:hanging="0"/>
              <w:jc w:val="left"/>
              <w:rPr/>
            </w:pPr>
            <w:r>
              <w:rPr/>
              <w:t>​</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Number of</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or Base</w:t>
            </w:r>
          </w:p>
        </w:tc>
        <w:tc>
          <w:tcPr>
            <w:tcW w:w="226" w:type="dxa"/>
            <w:tcBorders/>
            <w:shd w:fill="E5E5E5" w:val="clear"/>
            <w:vAlign w:val="center"/>
          </w:tcPr>
          <w:p>
            <w:pPr>
              <w:pStyle w:val="TableContents"/>
              <w:bidi w:val="0"/>
              <w:spacing w:before="0" w:after="1"/>
              <w:ind w:left="0" w:right="0" w:hanging="0"/>
              <w:jc w:val="left"/>
              <w:rPr/>
            </w:pPr>
            <w:r>
              <w:rPr/>
              <w:t>​</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of</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30" w:type="dxa"/>
            <w:gridSpan w:val="5"/>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Under Non-Equity</w:t>
            </w:r>
          </w:p>
        </w:tc>
        <w:tc>
          <w:tcPr>
            <w:tcW w:w="226" w:type="dxa"/>
            <w:tcBorders/>
            <w:shd w:fill="E5E5E5" w:val="clear"/>
            <w:vAlign w:val="center"/>
          </w:tcPr>
          <w:p>
            <w:pPr>
              <w:pStyle w:val="TableContents"/>
              <w:bidi w:val="0"/>
              <w:spacing w:before="0" w:after="1"/>
              <w:ind w:left="0" w:right="0" w:hanging="0"/>
              <w:jc w:val="left"/>
              <w:rPr/>
            </w:pPr>
            <w:r>
              <w:rPr/>
              <w:t>​</w:t>
            </w:r>
          </w:p>
        </w:tc>
        <w:tc>
          <w:tcPr>
            <w:tcW w:w="2435" w:type="dxa"/>
            <w:gridSpan w:val="5"/>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Under Equity Incentive</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Shares of</w:t>
            </w:r>
          </w:p>
        </w:tc>
        <w:tc>
          <w:tcPr>
            <w:tcW w:w="226" w:type="dxa"/>
            <w:tcBorders/>
            <w:shd w:fill="E5E5E5" w:val="clear"/>
            <w:vAlign w:val="center"/>
          </w:tcPr>
          <w:p>
            <w:pPr>
              <w:pStyle w:val="TableContents"/>
              <w:bidi w:val="0"/>
              <w:spacing w:before="0" w:after="1"/>
              <w:ind w:left="0" w:right="0" w:hanging="0"/>
              <w:jc w:val="left"/>
              <w:rPr/>
            </w:pPr>
            <w:r>
              <w:rPr/>
              <w:t>​</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Securities</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Price of</w:t>
            </w:r>
          </w:p>
        </w:tc>
        <w:tc>
          <w:tcPr>
            <w:tcW w:w="226" w:type="dxa"/>
            <w:tcBorders/>
            <w:shd w:fill="E5E5E5" w:val="clear"/>
            <w:vAlign w:val="center"/>
          </w:tcPr>
          <w:p>
            <w:pPr>
              <w:pStyle w:val="TableContents"/>
              <w:bidi w:val="0"/>
              <w:spacing w:before="0" w:after="1"/>
              <w:ind w:left="0" w:right="0" w:hanging="0"/>
              <w:jc w:val="left"/>
              <w:rPr/>
            </w:pPr>
            <w:r>
              <w:rPr/>
              <w:t>​</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 and</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Incentive Plan Awards(2)</w:t>
            </w:r>
          </w:p>
        </w:tc>
        <w:tc>
          <w:tcPr>
            <w:tcW w:w="226" w:type="dxa"/>
            <w:tcBorders/>
            <w:shd w:fill="E5E5E5" w:val="clear"/>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Plan Awards(3)</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 or</w:t>
            </w:r>
          </w:p>
        </w:tc>
        <w:tc>
          <w:tcPr>
            <w:tcW w:w="226" w:type="dxa"/>
            <w:tcBorders/>
            <w:shd w:fill="E5E5E5" w:val="clear"/>
            <w:vAlign w:val="center"/>
          </w:tcPr>
          <w:p>
            <w:pPr>
              <w:pStyle w:val="TableContents"/>
              <w:bidi w:val="0"/>
              <w:spacing w:before="0" w:after="1"/>
              <w:ind w:left="0" w:right="0" w:hanging="0"/>
              <w:jc w:val="left"/>
              <w:rPr/>
            </w:pPr>
            <w:r>
              <w:rPr/>
              <w:t>​</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Underlying</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Option</w:t>
            </w:r>
          </w:p>
        </w:tc>
        <w:tc>
          <w:tcPr>
            <w:tcW w:w="226" w:type="dxa"/>
            <w:tcBorders/>
            <w:shd w:fill="E5E5E5" w:val="clear"/>
            <w:vAlign w:val="center"/>
          </w:tcPr>
          <w:p>
            <w:pPr>
              <w:pStyle w:val="TableContents"/>
              <w:bidi w:val="0"/>
              <w:spacing w:before="0" w:after="1"/>
              <w:ind w:left="0" w:right="0" w:hanging="0"/>
              <w:jc w:val="left"/>
              <w:rPr/>
            </w:pPr>
            <w:r>
              <w:rPr/>
              <w:t>​</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Option</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  ​</w:t>
            </w:r>
          </w:p>
        </w:tc>
        <w:tc>
          <w:tcPr>
            <w:tcW w:w="4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Grant</w:t>
            </w:r>
          </w:p>
        </w:tc>
        <w:tc>
          <w:tcPr>
            <w:tcW w:w="226" w:type="dxa"/>
            <w:tcBorders/>
            <w:shd w:fill="E5E5E5" w:val="clear"/>
            <w:vAlign w:val="center"/>
          </w:tcPr>
          <w:p>
            <w:pPr>
              <w:pStyle w:val="TableContents"/>
              <w:bidi w:val="0"/>
              <w:spacing w:before="0" w:after="1"/>
              <w:ind w:left="0" w:right="0" w:hanging="0"/>
              <w:jc w:val="left"/>
              <w:rPr/>
            </w:pPr>
            <w:r>
              <w:rPr/>
              <w:t>  ​</w:t>
            </w:r>
          </w:p>
        </w:tc>
        <w:tc>
          <w:tcPr>
            <w:tcW w:w="73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Threshold</w:t>
            </w:r>
          </w:p>
        </w:tc>
        <w:tc>
          <w:tcPr>
            <w:tcW w:w="226" w:type="dxa"/>
            <w:tcBorders/>
            <w:shd w:fill="E5E5E5" w:val="clear"/>
            <w:vAlign w:val="center"/>
          </w:tcPr>
          <w:p>
            <w:pPr>
              <w:pStyle w:val="TableContents"/>
              <w:bidi w:val="0"/>
              <w:spacing w:before="0" w:after="1"/>
              <w:ind w:left="0" w:right="0" w:hanging="0"/>
              <w:jc w:val="left"/>
              <w:rPr/>
            </w:pPr>
            <w:r>
              <w:rPr/>
              <w:t>  ​</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Target</w:t>
            </w:r>
          </w:p>
        </w:tc>
        <w:tc>
          <w:tcPr>
            <w:tcW w:w="226" w:type="dxa"/>
            <w:tcBorders/>
            <w:shd w:fill="E5E5E5" w:val="clear"/>
            <w:vAlign w:val="center"/>
          </w:tcPr>
          <w:p>
            <w:pPr>
              <w:pStyle w:val="TableContents"/>
              <w:bidi w:val="0"/>
              <w:spacing w:before="0" w:after="1"/>
              <w:ind w:left="0" w:right="0" w:hanging="0"/>
              <w:jc w:val="left"/>
              <w:rPr/>
            </w:pPr>
            <w:r>
              <w:rPr/>
              <w:t>  ​</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Maximum</w:t>
            </w:r>
          </w:p>
        </w:tc>
        <w:tc>
          <w:tcPr>
            <w:tcW w:w="226" w:type="dxa"/>
            <w:tcBorders/>
            <w:shd w:fill="E5E5E5" w:val="clear"/>
            <w:vAlign w:val="center"/>
          </w:tcPr>
          <w:p>
            <w:pPr>
              <w:pStyle w:val="TableContents"/>
              <w:bidi w:val="0"/>
              <w:spacing w:before="0" w:after="1"/>
              <w:ind w:left="0" w:right="0" w:hanging="0"/>
              <w:jc w:val="left"/>
              <w:rPr/>
            </w:pPr>
            <w:r>
              <w:rPr/>
              <w:t>  ​</w:t>
            </w:r>
          </w:p>
        </w:tc>
        <w:tc>
          <w:tcPr>
            <w:tcW w:w="73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Threshold</w:t>
            </w:r>
          </w:p>
        </w:tc>
        <w:tc>
          <w:tcPr>
            <w:tcW w:w="226" w:type="dxa"/>
            <w:tcBorders/>
            <w:shd w:fill="E5E5E5" w:val="clear"/>
            <w:vAlign w:val="center"/>
          </w:tcPr>
          <w:p>
            <w:pPr>
              <w:pStyle w:val="TableContents"/>
              <w:bidi w:val="0"/>
              <w:spacing w:before="0" w:after="1"/>
              <w:ind w:left="0" w:right="0" w:hanging="0"/>
              <w:jc w:val="left"/>
              <w:rPr/>
            </w:pPr>
            <w:r>
              <w:rPr/>
              <w:t>  ​</w:t>
            </w:r>
          </w:p>
        </w:tc>
        <w:tc>
          <w:tcPr>
            <w:tcW w:w="52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Target</w:t>
            </w:r>
          </w:p>
        </w:tc>
        <w:tc>
          <w:tcPr>
            <w:tcW w:w="226" w:type="dxa"/>
            <w:tcBorders/>
            <w:shd w:fill="E5E5E5" w:val="clear"/>
            <w:vAlign w:val="center"/>
          </w:tcPr>
          <w:p>
            <w:pPr>
              <w:pStyle w:val="TableContents"/>
              <w:bidi w:val="0"/>
              <w:spacing w:before="0" w:after="1"/>
              <w:ind w:left="0" w:right="0" w:hanging="0"/>
              <w:jc w:val="left"/>
              <w:rPr/>
            </w:pPr>
            <w:r>
              <w:rPr/>
              <w:t>  ​</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Maximum</w:t>
            </w:r>
          </w:p>
        </w:tc>
        <w:tc>
          <w:tcPr>
            <w:tcW w:w="226" w:type="dxa"/>
            <w:tcBorders/>
            <w:shd w:fill="E5E5E5" w:val="clear"/>
            <w:vAlign w:val="center"/>
          </w:tcPr>
          <w:p>
            <w:pPr>
              <w:pStyle w:val="TableContents"/>
              <w:bidi w:val="0"/>
              <w:spacing w:before="0" w:after="1"/>
              <w:ind w:left="0" w:right="0" w:hanging="0"/>
              <w:jc w:val="left"/>
              <w:rPr/>
            </w:pPr>
            <w:r>
              <w:rPr/>
              <w:t>  ​</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Units(4)</w:t>
            </w:r>
          </w:p>
        </w:tc>
        <w:tc>
          <w:tcPr>
            <w:tcW w:w="226" w:type="dxa"/>
            <w:tcBorders/>
            <w:shd w:fill="E5E5E5" w:val="clear"/>
            <w:vAlign w:val="center"/>
          </w:tcPr>
          <w:p>
            <w:pPr>
              <w:pStyle w:val="TableContents"/>
              <w:bidi w:val="0"/>
              <w:spacing w:before="0" w:after="1"/>
              <w:ind w:left="0" w:right="0" w:hanging="0"/>
              <w:jc w:val="left"/>
              <w:rPr/>
            </w:pPr>
            <w:r>
              <w:rPr/>
              <w:t>  ​</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Option</w:t>
            </w:r>
          </w:p>
        </w:tc>
        <w:tc>
          <w:tcPr>
            <w:tcW w:w="226" w:type="dxa"/>
            <w:tcBorders/>
            <w:shd w:fill="E5E5E5" w:val="clear"/>
            <w:vAlign w:val="center"/>
          </w:tcPr>
          <w:p>
            <w:pPr>
              <w:pStyle w:val="TableContents"/>
              <w:bidi w:val="0"/>
              <w:spacing w:before="0" w:after="1"/>
              <w:ind w:left="0" w:right="0" w:hanging="0"/>
              <w:jc w:val="left"/>
              <w:rPr/>
            </w:pPr>
            <w:r>
              <w:rPr/>
              <w:t>  ​</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Awards</w:t>
            </w:r>
          </w:p>
        </w:tc>
        <w:tc>
          <w:tcPr>
            <w:tcW w:w="226" w:type="dxa"/>
            <w:tcBorders/>
            <w:shd w:fill="E5E5E5" w:val="clear"/>
            <w:vAlign w:val="center"/>
          </w:tcPr>
          <w:p>
            <w:pPr>
              <w:pStyle w:val="TableContents"/>
              <w:bidi w:val="0"/>
              <w:spacing w:before="0" w:after="1"/>
              <w:ind w:left="0" w:right="0" w:hanging="0"/>
              <w:jc w:val="left"/>
              <w:rPr/>
            </w:pPr>
            <w:r>
              <w:rPr/>
              <w:t>  ​</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Awards(5)</w:t>
            </w:r>
          </w:p>
        </w:tc>
      </w:tr>
      <w:tr>
        <w:trPr/>
        <w:tc>
          <w:tcPr>
            <w:tcW w:w="721" w:type="dxa"/>
            <w:tcBorders/>
            <w:shd w:fill="E5E5E5"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Name</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Date(1)</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3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52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9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w:t>
            </w:r>
          </w:p>
        </w:tc>
        <w:tc>
          <w:tcPr>
            <w:tcW w:w="226" w:type="dxa"/>
            <w:tcBorders/>
            <w:shd w:fill="E5E5E5" w:val="clear"/>
            <w:vAlign w:val="center"/>
          </w:tcPr>
          <w:p>
            <w:pPr>
              <w:pStyle w:val="TableContents"/>
              <w:bidi w:val="0"/>
              <w:spacing w:before="0" w:after="1"/>
              <w:ind w:left="0" w:right="0" w:hanging="0"/>
              <w:jc w:val="left"/>
              <w:rPr/>
            </w:pPr>
            <w:r>
              <w:rPr/>
              <w:t>​</w:t>
            </w:r>
          </w:p>
        </w:tc>
        <w:tc>
          <w:tcPr>
            <w:tcW w:w="811" w:type="dxa"/>
            <w:tcBorders/>
            <w:shd w:fill="E5E5E5" w:val="cle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Sanjay Chowbey</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533,183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1,035,307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1,992,966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10/1/2025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44,712</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941,188</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76,118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1,600,000</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38,059</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76,117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152,234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1,599,979</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7/29/2025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12,596</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25,192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50,384</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635,342</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Patrick Watson</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208,865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405,563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780,708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10/1/2025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25,689</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540,753</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19,037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400,158</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9,518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19,036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23,978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400,137</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7/29/2025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3,779</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7,557</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15,114</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190,588</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Dave Bersaglini</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205,871</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399,750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769,519</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10/1/2025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25,321</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533,007</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13,693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287,827</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6,847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13,693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27,386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287,827</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7/29/2025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1,675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3,349</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6,698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84,462</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Faisal Hamadi</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168,260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326,719</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628,934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10/1/2025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20,695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435,630</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11,191</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235,235</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5,596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11,191</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22,382</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235,235</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7/29/2025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1,067</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2,133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4,266</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53,794</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Michelle Keating</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139,050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270,000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519,750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10/1/2025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21,378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450,007</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11,989</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252,009</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5,995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11,989</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23,978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252,009</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7/29/2025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3,102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6,204</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12,408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7F7F7F"/>
            </w:tcBorders>
            <w:tcMar>
              <w:bottom w:w="28" w:type="dxa"/>
            </w:tcMar>
            <w:vAlign w:val="center"/>
          </w:tcPr>
          <w:p>
            <w:pPr>
              <w:pStyle w:val="TableContents"/>
              <w:bidi w:val="0"/>
              <w:spacing w:before="0" w:after="1"/>
              <w:ind w:left="0" w:right="45" w:hanging="0"/>
              <w:jc w:val="right"/>
              <w:rPr>
                <w:rFonts w:ascii="Arial;Helvetica;sans-serif" w:hAnsi="Arial;Helvetica;sans-serif"/>
                <w:sz w:val="14"/>
              </w:rPr>
            </w:pPr>
            <w:r>
              <w:rPr>
                <w:rFonts w:ascii="Arial;Helvetica;sans-serif" w:hAnsi="Arial;Helvetica;sans-serif"/>
                <w:sz w:val="14"/>
              </w:rPr>
              <w:t>156,465</w:t>
            </w:r>
          </w:p>
        </w:tc>
      </w:tr>
    </w:tbl>
    <w:p>
      <w:pPr>
        <w:pStyle w:val="TextBody"/>
        <w:bidi w:val="0"/>
        <w:spacing w:before="0" w:after="240"/>
        <w:ind w:left="0" w:right="0" w:hanging="0"/>
        <w:jc w:val="both"/>
        <w:rPr/>
      </w:pPr>
      <w:r>
        <w:rPr/>
        <w:t>​</w:t>
      </w:r>
    </w:p>
    <w:p>
      <w:pPr>
        <w:pStyle w:val="TextBody"/>
        <w:pBdr/>
        <w:bidi w:val="0"/>
        <w:spacing w:before="0" w:after="20"/>
        <w:ind w:left="0" w:right="0" w:hanging="360"/>
        <w:jc w:val="left"/>
        <w:rPr>
          <w:rFonts w:ascii="Arial;Helvetica;sans-serif" w:hAnsi="Arial;Helvetica;sans-serif"/>
          <w:i/>
          <w:sz w:val="20"/>
        </w:rPr>
      </w:pPr>
      <w:r>
        <w:rPr>
          <w:rFonts w:ascii="Arial;Helvetica;sans-serif" w:hAnsi="Arial;Helvetica;sans-serif"/>
          <w:i/>
          <w:sz w:val="20"/>
        </w:rPr>
        <w:t>Notes and Supplemental Tables to the 2026 Grants of Plan-Based Awards Table</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PSUs granted on 7/29/2025, originally approved by the Committee on 7/29/2024, represent the second tranche of the Fiscal 2025 PSUs and the third tranche of the Fiscal 2024 PSUs tied to Adjusted ROIC one-year goals established by the Board of Directors for Fiscal 2025 on 7/29/2025. The PSUs granted on 8/15/2025, as approved by the Committee on 7/29/2025, represents the first tranche of the Fiscal 2026 PSUs tied to Adjusted ROIC one-year goals for Fiscal 2026 and Adjusted EBITDA Margin three-year goals for Fiscal 2026 through Fiscal 2028, which were established by the Board of Directors on 7/29/2025.</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These columns reflect the possible payouts under the AIP, which is described more fully in the “</w:t>
            </w:r>
            <w:r>
              <w:rPr>
                <w:rFonts w:ascii="Arial;Helvetica;sans-serif" w:hAnsi="Arial;Helvetica;sans-serif"/>
                <w:b w:val="false"/>
                <w:i/>
                <w:sz w:val="20"/>
              </w:rPr>
              <w:t>AIP</w:t>
            </w:r>
            <w:r>
              <w:rPr>
                <w:caps w:val="false"/>
                <w:smallCaps w:val="false"/>
              </w:rPr>
              <w:t xml:space="preserve">” </w:t>
            </w:r>
            <w:r>
              <w:rPr>
                <w:rFonts w:ascii="Arial;Helvetica;sans-serif" w:hAnsi="Arial;Helvetica;sans-serif"/>
                <w:b w:val="false"/>
                <w:i w:val="false"/>
                <w:caps w:val="false"/>
                <w:smallCaps w:val="false"/>
                <w:sz w:val="20"/>
              </w:rPr>
              <w:t>section of the CD&amp;A. The amounts presented in these columns reflect the amounts that could have been earned for 2026 based upon the level of achievement of the performance goals underlying such awards. Actual AIP earned for 2026 are included in the “Non-Equity Incentive Plan Compensation” column of the Summary Compensation Table.</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amounts presented in these columns reflect the number of shares of our capital stock which could be earned over the course of the applicable performance period based upon the level of achievement of the performance goals underlying such awards. A description of our PSUs is set forth in the “</w:t>
            </w:r>
            <w:r>
              <w:rPr>
                <w:rFonts w:ascii="Arial;Helvetica;sans-serif" w:hAnsi="Arial;Helvetica;sans-serif"/>
                <w:b w:val="false"/>
                <w:i/>
                <w:sz w:val="20"/>
              </w:rPr>
              <w:t>Long-Term Incentives</w:t>
            </w:r>
            <w:r>
              <w:rPr>
                <w:caps w:val="false"/>
                <w:smallCaps w:val="false"/>
              </w:rPr>
              <w:t xml:space="preserve">” </w:t>
            </w:r>
            <w:r>
              <w:rPr>
                <w:rFonts w:ascii="Arial;Helvetica;sans-serif" w:hAnsi="Arial;Helvetica;sans-serif"/>
                <w:b w:val="false"/>
                <w:i w:val="false"/>
                <w:caps w:val="false"/>
                <w:smallCaps w:val="false"/>
                <w:sz w:val="20"/>
              </w:rPr>
              <w:t>section of the CD&amp;A.</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This column reflects the number of RSUs awarded to the NEOs in August 2025 and October 2025. A description of our RSUs is set forth in the “</w:t>
            </w:r>
            <w:r>
              <w:rPr>
                <w:rFonts w:ascii="Arial;Helvetica;sans-serif" w:hAnsi="Arial;Helvetica;sans-serif"/>
                <w:b w:val="false"/>
                <w:i/>
                <w:sz w:val="20"/>
              </w:rPr>
              <w:t>Long-Term Incentives</w:t>
            </w:r>
            <w:r>
              <w:rPr>
                <w:caps w:val="false"/>
                <w:smallCaps w:val="false"/>
              </w:rPr>
              <w:t xml:space="preserve">” </w:t>
            </w:r>
            <w:r>
              <w:rPr>
                <w:rFonts w:ascii="Arial;Helvetica;sans-serif" w:hAnsi="Arial;Helvetica;sans-serif"/>
                <w:b w:val="false"/>
                <w:i w:val="false"/>
                <w:caps w:val="false"/>
                <w:smallCaps w:val="false"/>
                <w:sz w:val="20"/>
              </w:rPr>
              <w:t>section of the CD&amp;A.</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amounts reported in this column represent the grant date fair value of each equity-based award as determined pursuant to FASB ASC Topic 718 (disregarding any estimates of forfeitures). Please refer to Note 18 to the financial statements included in Kennametal’s Annual Report on Form 10-K for 2026 for a discussion of additional assumptions </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63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29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14" descr=""/>
                    <pic:cNvPicPr>
                      <a:picLocks noChangeAspect="1" noChangeArrowheads="1"/>
                    </pic:cNvPicPr>
                  </pic:nvPicPr>
                  <pic:blipFill>
                    <a:blip r:embed="rId115"/>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ANALYSIS OF RISK INHERENT IN OUR COMPENSATION POLICIES AND PRACTICES</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used in calculating grant date fair value. The values reported in this column for the PSU awards were calculated at target.</w:t>
            </w:r>
          </w:p>
        </w:tc>
      </w:tr>
    </w:tbl>
    <w:p>
      <w:pPr>
        <w:pStyle w:val="TextBody"/>
        <w:bidi w:val="0"/>
        <w:spacing w:before="0" w:after="120"/>
        <w:ind w:left="0" w:right="0" w:hanging="0"/>
        <w:jc w:val="left"/>
        <w:rPr>
          <w:rFonts w:ascii="Arial;Helvetica;sans-serif" w:hAnsi="Arial;Helvetica;sans-serif"/>
          <w:sz w:val="24"/>
        </w:rPr>
      </w:pPr>
      <w:r>
        <w:rPr>
          <w:rFonts w:ascii="Arial;Helvetica;sans-serif" w:hAnsi="Arial;Helvetica;sans-serif"/>
          <w:sz w:val="24"/>
        </w:rPr>
        <w:t>Outstanding Equity Awards at Fiscal Year End 2026</w:t>
      </w:r>
    </w:p>
    <w:tbl>
      <w:tblPr>
        <w:tblW w:w="10416" w:type="dxa"/>
        <w:jc w:val="left"/>
        <w:tblInd w:w="0" w:type="dxa"/>
        <w:tblLayout w:type="fixed"/>
        <w:tblCellMar>
          <w:top w:w="0" w:type="dxa"/>
          <w:left w:w="0" w:type="dxa"/>
          <w:bottom w:w="0" w:type="dxa"/>
          <w:right w:w="0" w:type="dxa"/>
        </w:tblCellMar>
      </w:tblPr>
      <w:tblGrid>
        <w:gridCol w:w="721"/>
        <w:gridCol w:w="226"/>
        <w:gridCol w:w="466"/>
        <w:gridCol w:w="226"/>
        <w:gridCol w:w="901"/>
        <w:gridCol w:w="226"/>
        <w:gridCol w:w="1021"/>
        <w:gridCol w:w="226"/>
        <w:gridCol w:w="676"/>
        <w:gridCol w:w="226"/>
        <w:gridCol w:w="766"/>
        <w:gridCol w:w="226"/>
        <w:gridCol w:w="466"/>
        <w:gridCol w:w="226"/>
        <w:gridCol w:w="766"/>
        <w:gridCol w:w="226"/>
        <w:gridCol w:w="721"/>
        <w:gridCol w:w="226"/>
        <w:gridCol w:w="766"/>
        <w:gridCol w:w="346"/>
        <w:gridCol w:w="766"/>
      </w:tblGrid>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734" w:type="dxa"/>
            <w:gridSpan w:val="9"/>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Option Awards(1)</w:t>
            </w:r>
          </w:p>
        </w:tc>
        <w:tc>
          <w:tcPr>
            <w:tcW w:w="226" w:type="dxa"/>
            <w:tcBorders/>
            <w:shd w:fill="E5E5E5" w:val="clear"/>
            <w:vAlign w:val="center"/>
          </w:tcPr>
          <w:p>
            <w:pPr>
              <w:pStyle w:val="TableContents"/>
              <w:bidi w:val="0"/>
              <w:spacing w:before="0" w:after="1"/>
              <w:ind w:left="0" w:right="0" w:hanging="0"/>
              <w:jc w:val="left"/>
              <w:rPr/>
            </w:pPr>
            <w:r>
              <w:rPr/>
              <w:t>​</w:t>
            </w:r>
          </w:p>
        </w:tc>
        <w:tc>
          <w:tcPr>
            <w:tcW w:w="4509" w:type="dxa"/>
            <w:gridSpan w:val="9"/>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Stock Awards(1)</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  ​ ​ ​</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Equity</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Incentive</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Equity</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Plan</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Incentive</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Awards:</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Plan</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Market or</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Awards:</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Payout</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Number of</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Value of</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Market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Unearned</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Unearned</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Number of</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Value of</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Shares,</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Shares,</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Number of</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Number of</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Shares</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Shares or</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Units or</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Units or</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Securities</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Securities</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or Units</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Units of</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Other</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Other</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Underlying</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Underlying</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of Stock</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Stock</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Rights</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Rights</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Unexercised</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Unexercised</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Option</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That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That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That</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That</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Options</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Options</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Exercise</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Option</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Have Not</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Have Not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Have Not</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Have Not</w:t>
            </w:r>
          </w:p>
        </w:tc>
      </w:tr>
      <w:tr>
        <w:trPr/>
        <w:tc>
          <w:tcPr>
            <w:tcW w:w="72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Grant</w:t>
            </w:r>
          </w:p>
        </w:tc>
        <w:tc>
          <w:tcPr>
            <w:tcW w:w="226" w:type="dxa"/>
            <w:tcBorders/>
            <w:shd w:fill="E5E5E5" w:val="clear"/>
            <w:vAlign w:val="center"/>
          </w:tcPr>
          <w:p>
            <w:pPr>
              <w:pStyle w:val="TableContents"/>
              <w:bidi w:val="0"/>
              <w:spacing w:before="0" w:after="1"/>
              <w:ind w:left="0" w:right="0" w:hanging="0"/>
              <w:jc w:val="left"/>
              <w:rPr/>
            </w:pPr>
            <w:r>
              <w:rPr/>
              <w:t>​</w:t>
            </w:r>
          </w:p>
        </w:tc>
        <w:tc>
          <w:tcPr>
            <w:tcW w:w="90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0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w:t>
            </w:r>
          </w:p>
        </w:tc>
        <w:tc>
          <w:tcPr>
            <w:tcW w:w="226" w:type="dxa"/>
            <w:tcBorders/>
            <w:shd w:fill="E5E5E5" w:val="clear"/>
            <w:vAlign w:val="center"/>
          </w:tcPr>
          <w:p>
            <w:pPr>
              <w:pStyle w:val="TableContents"/>
              <w:bidi w:val="0"/>
              <w:spacing w:before="0" w:after="1"/>
              <w:ind w:left="0" w:right="0" w:hanging="0"/>
              <w:jc w:val="left"/>
              <w:rPr/>
            </w:pPr>
            <w:r>
              <w:rPr/>
              <w:t>​</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Price</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Expiration</w:t>
            </w:r>
          </w:p>
        </w:tc>
        <w:tc>
          <w:tcPr>
            <w:tcW w:w="226" w:type="dxa"/>
            <w:tcBorders/>
            <w:shd w:fill="E5E5E5" w:val="clear"/>
            <w:vAlign w:val="center"/>
          </w:tcPr>
          <w:p>
            <w:pPr>
              <w:pStyle w:val="TableContents"/>
              <w:bidi w:val="0"/>
              <w:spacing w:before="0" w:after="1"/>
              <w:ind w:left="0" w:right="0" w:hanging="0"/>
              <w:jc w:val="left"/>
              <w:rPr/>
            </w:pPr>
            <w:r>
              <w:rPr/>
              <w:t>​</w:t>
            </w:r>
          </w:p>
        </w:tc>
        <w:tc>
          <w:tcPr>
            <w:tcW w:w="4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Grant</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Vested</w:t>
            </w:r>
          </w:p>
        </w:tc>
        <w:tc>
          <w:tcPr>
            <w:tcW w:w="226" w:type="dxa"/>
            <w:tcBorders/>
            <w:shd w:fill="E5E5E5" w:val="clear"/>
            <w:vAlign w:val="center"/>
          </w:tcPr>
          <w:p>
            <w:pPr>
              <w:pStyle w:val="TableContents"/>
              <w:bidi w:val="0"/>
              <w:spacing w:before="0" w:after="1"/>
              <w:ind w:left="0" w:right="0" w:hanging="0"/>
              <w:jc w:val="left"/>
              <w:rPr/>
            </w:pPr>
            <w:r>
              <w:rPr/>
              <w:t>​</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Vested</w:t>
            </w:r>
          </w:p>
        </w:tc>
        <w:tc>
          <w:tcPr>
            <w:tcW w:w="22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Vested</w:t>
            </w:r>
          </w:p>
        </w:tc>
        <w:tc>
          <w:tcPr>
            <w:tcW w:w="346" w:type="dxa"/>
            <w:tcBorders/>
            <w:shd w:fill="E5E5E5" w:val="clear"/>
            <w:vAlign w:val="center"/>
          </w:tcPr>
          <w:p>
            <w:pPr>
              <w:pStyle w:val="TableContents"/>
              <w:bidi w:val="0"/>
              <w:spacing w:before="0" w:after="1"/>
              <w:ind w:left="0" w:right="0" w:hanging="0"/>
              <w:jc w:val="left"/>
              <w:rPr/>
            </w:pPr>
            <w:r>
              <w:rPr/>
              <w:t>​</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Vested</w:t>
            </w:r>
          </w:p>
        </w:tc>
      </w:tr>
      <w:tr>
        <w:trPr/>
        <w:tc>
          <w:tcPr>
            <w:tcW w:w="721" w:type="dxa"/>
            <w:tcBorders/>
            <w:shd w:fill="E5E5E5" w:val="clear"/>
            <w:vAlign w:val="center"/>
          </w:tcPr>
          <w:p>
            <w:pPr>
              <w:pStyle w:val="TableContents"/>
              <w:bidi w:val="0"/>
              <w:spacing w:before="0" w:after="1"/>
              <w:ind w:left="0" w:right="0" w:hanging="0"/>
              <w:jc w:val="left"/>
              <w:rPr>
                <w:rFonts w:ascii="Arial;Helvetica;sans-serif" w:hAnsi="Arial;Helvetica;sans-serif"/>
                <w:b/>
                <w:sz w:val="13"/>
              </w:rPr>
            </w:pPr>
            <w:r>
              <w:rPr>
                <w:rFonts w:ascii="Arial;Helvetica;sans-serif" w:hAnsi="Arial;Helvetica;sans-serif"/>
                <w:b/>
                <w:sz w:val="13"/>
              </w:rPr>
              <w:t>Name</w:t>
            </w:r>
          </w:p>
        </w:tc>
        <w:tc>
          <w:tcPr>
            <w:tcW w:w="226" w:type="dxa"/>
            <w:tcBorders/>
            <w:shd w:fill="E5E5E5" w:val="clear"/>
            <w:vAlign w:val="center"/>
          </w:tcPr>
          <w:p>
            <w:pPr>
              <w:pStyle w:val="TableContents"/>
              <w:bidi w:val="0"/>
              <w:spacing w:before="0" w:after="1"/>
              <w:ind w:left="0" w:right="0" w:hanging="0"/>
              <w:jc w:val="left"/>
              <w:rPr/>
            </w:pPr>
            <w:r>
              <w:rPr/>
              <w:t>  ​</w:t>
            </w:r>
          </w:p>
        </w:tc>
        <w:tc>
          <w:tcPr>
            <w:tcW w:w="4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Date</w:t>
            </w:r>
          </w:p>
        </w:tc>
        <w:tc>
          <w:tcPr>
            <w:tcW w:w="226" w:type="dxa"/>
            <w:tcBorders/>
            <w:shd w:fill="E5E5E5" w:val="clear"/>
            <w:vAlign w:val="center"/>
          </w:tcPr>
          <w:p>
            <w:pPr>
              <w:pStyle w:val="TableContents"/>
              <w:bidi w:val="0"/>
              <w:spacing w:before="0" w:after="1"/>
              <w:ind w:left="0" w:right="0" w:hanging="0"/>
              <w:jc w:val="left"/>
              <w:rPr/>
            </w:pPr>
            <w:r>
              <w:rPr/>
              <w:t>  ​</w:t>
            </w:r>
          </w:p>
        </w:tc>
        <w:tc>
          <w:tcPr>
            <w:tcW w:w="90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Exercisable</w:t>
            </w:r>
          </w:p>
        </w:tc>
        <w:tc>
          <w:tcPr>
            <w:tcW w:w="226" w:type="dxa"/>
            <w:tcBorders/>
            <w:shd w:fill="E5E5E5" w:val="clear"/>
            <w:vAlign w:val="center"/>
          </w:tcPr>
          <w:p>
            <w:pPr>
              <w:pStyle w:val="TableContents"/>
              <w:bidi w:val="0"/>
              <w:spacing w:before="0" w:after="1"/>
              <w:ind w:left="0" w:right="0" w:hanging="0"/>
              <w:jc w:val="left"/>
              <w:rPr/>
            </w:pPr>
            <w:r>
              <w:rPr/>
              <w:t>  ​</w:t>
            </w:r>
          </w:p>
        </w:tc>
        <w:tc>
          <w:tcPr>
            <w:tcW w:w="10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Unexercisable</w:t>
            </w:r>
          </w:p>
        </w:tc>
        <w:tc>
          <w:tcPr>
            <w:tcW w:w="226" w:type="dxa"/>
            <w:tcBorders/>
            <w:shd w:fill="E5E5E5" w:val="clear"/>
            <w:vAlign w:val="center"/>
          </w:tcPr>
          <w:p>
            <w:pPr>
              <w:pStyle w:val="TableContents"/>
              <w:bidi w:val="0"/>
              <w:spacing w:before="0" w:after="1"/>
              <w:ind w:left="0" w:right="0" w:hanging="0"/>
              <w:jc w:val="left"/>
              <w:rPr/>
            </w:pPr>
            <w:r>
              <w:rPr/>
              <w:t>  ​</w:t>
            </w:r>
          </w:p>
        </w:tc>
        <w:tc>
          <w:tcPr>
            <w:tcW w:w="67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w:t>
            </w:r>
          </w:p>
        </w:tc>
        <w:tc>
          <w:tcPr>
            <w:tcW w:w="226" w:type="dxa"/>
            <w:tcBorders/>
            <w:shd w:fill="E5E5E5" w:val="clear"/>
            <w:vAlign w:val="center"/>
          </w:tcPr>
          <w:p>
            <w:pPr>
              <w:pStyle w:val="TableContents"/>
              <w:bidi w:val="0"/>
              <w:spacing w:before="0" w:after="1"/>
              <w:ind w:left="0" w:right="0" w:hanging="0"/>
              <w:jc w:val="left"/>
              <w:rPr/>
            </w:pPr>
            <w:r>
              <w:rPr/>
              <w:t>  ​</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Date</w:t>
            </w:r>
          </w:p>
        </w:tc>
        <w:tc>
          <w:tcPr>
            <w:tcW w:w="226" w:type="dxa"/>
            <w:tcBorders/>
            <w:shd w:fill="E5E5E5" w:val="clear"/>
            <w:vAlign w:val="center"/>
          </w:tcPr>
          <w:p>
            <w:pPr>
              <w:pStyle w:val="TableContents"/>
              <w:bidi w:val="0"/>
              <w:spacing w:before="0" w:after="1"/>
              <w:ind w:left="0" w:right="0" w:hanging="0"/>
              <w:jc w:val="left"/>
              <w:rPr/>
            </w:pPr>
            <w:r>
              <w:rPr/>
              <w:t>  ​</w:t>
            </w:r>
          </w:p>
        </w:tc>
        <w:tc>
          <w:tcPr>
            <w:tcW w:w="4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Date</w:t>
            </w:r>
          </w:p>
        </w:tc>
        <w:tc>
          <w:tcPr>
            <w:tcW w:w="226" w:type="dxa"/>
            <w:tcBorders/>
            <w:shd w:fill="E5E5E5" w:val="clear"/>
            <w:vAlign w:val="center"/>
          </w:tcPr>
          <w:p>
            <w:pPr>
              <w:pStyle w:val="TableContents"/>
              <w:bidi w:val="0"/>
              <w:spacing w:before="0" w:after="1"/>
              <w:ind w:left="0" w:right="0" w:hanging="0"/>
              <w:jc w:val="left"/>
              <w:rPr/>
            </w:pPr>
            <w:r>
              <w:rPr/>
              <w:t>  ​</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w:t>
            </w:r>
          </w:p>
        </w:tc>
        <w:tc>
          <w:tcPr>
            <w:tcW w:w="226" w:type="dxa"/>
            <w:tcBorders/>
            <w:shd w:fill="E5E5E5" w:val="clear"/>
            <w:vAlign w:val="center"/>
          </w:tcPr>
          <w:p>
            <w:pPr>
              <w:pStyle w:val="TableContents"/>
              <w:bidi w:val="0"/>
              <w:spacing w:before="0" w:after="1"/>
              <w:ind w:left="0" w:right="0" w:hanging="0"/>
              <w:jc w:val="left"/>
              <w:rPr/>
            </w:pPr>
            <w:r>
              <w:rPr/>
              <w:t>  ​</w:t>
            </w:r>
          </w:p>
        </w:tc>
        <w:tc>
          <w:tcPr>
            <w:tcW w:w="721"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($)(2)</w:t>
            </w:r>
          </w:p>
        </w:tc>
        <w:tc>
          <w:tcPr>
            <w:tcW w:w="226" w:type="dxa"/>
            <w:tcBorders/>
            <w:shd w:fill="E5E5E5" w:val="clear"/>
            <w:vAlign w:val="center"/>
          </w:tcPr>
          <w:p>
            <w:pPr>
              <w:pStyle w:val="TableContents"/>
              <w:bidi w:val="0"/>
              <w:spacing w:before="0" w:after="1"/>
              <w:ind w:left="0" w:right="0" w:hanging="0"/>
              <w:jc w:val="left"/>
              <w:rPr/>
            </w:pPr>
            <w:r>
              <w:rPr/>
              <w:t>  ​</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w:t>
            </w:r>
          </w:p>
        </w:tc>
        <w:tc>
          <w:tcPr>
            <w:tcW w:w="346" w:type="dxa"/>
            <w:tcBorders/>
            <w:shd w:fill="E5E5E5" w:val="clear"/>
            <w:vAlign w:val="center"/>
          </w:tcPr>
          <w:p>
            <w:pPr>
              <w:pStyle w:val="TableContents"/>
              <w:bidi w:val="0"/>
              <w:spacing w:before="0" w:after="1"/>
              <w:ind w:left="0" w:right="0" w:hanging="0"/>
              <w:jc w:val="left"/>
              <w:rPr/>
            </w:pPr>
            <w:r>
              <w:rPr/>
              <w:t>  ​</w:t>
            </w:r>
          </w:p>
        </w:tc>
        <w:tc>
          <w:tcPr>
            <w:tcW w:w="766" w:type="dxa"/>
            <w:tcBorders/>
            <w:shd w:fill="E5E5E5" w:val="clear"/>
            <w:vAlign w:val="center"/>
          </w:tcPr>
          <w:p>
            <w:pPr>
              <w:pStyle w:val="TableContents"/>
              <w:bidi w:val="0"/>
              <w:spacing w:before="0" w:after="1"/>
              <w:ind w:left="0" w:right="0" w:hanging="0"/>
              <w:jc w:val="center"/>
              <w:rPr>
                <w:rFonts w:ascii="Arial;Helvetica;sans-serif" w:hAnsi="Arial;Helvetica;sans-serif"/>
                <w:b/>
                <w:sz w:val="13"/>
              </w:rPr>
            </w:pPr>
            <w:r>
              <w:rPr>
                <w:rFonts w:ascii="Arial;Helvetica;sans-serif" w:hAnsi="Arial;Helvetica;sans-serif"/>
                <w:b/>
                <w:sz w:val="13"/>
              </w:rPr>
              <w:t>($)(2)</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Sanjay Chowbey</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23,308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816,945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20,534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719,717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57,713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2,022,828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51,338</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1,799,397</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76,118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2,667,936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38,058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1,333,933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95,148</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3,334,937</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10/1/2025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44,712</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1,567,156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260,443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9,128,515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146,486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5,134,334</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Patrick Watson</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15,392</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539,490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4,480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157,024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12,592</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441,366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11,201</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392,595</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19,037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667,247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9,518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333,606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23,796</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834,050</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10/1/2025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25,689</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900,399</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86,708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3,039,132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34,997</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1,226,645</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Dave Bersaglini</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9/1/2024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11,596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406,440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9/1/2024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9,415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329,990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8,376</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293,579</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9/1/2024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(c)</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3,350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117,418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13,693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479,940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6,846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239,952</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17,116</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599,916</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10/1/2025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25,321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887,501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70,221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2,461,241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25,492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893,495</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Faisal Hamadi</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9,917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347,591</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2,134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74,797</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5,996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210,160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5,334</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186,957</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11,191</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392,245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5,596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196,140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13,989</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490,314</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10/1/2025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20,695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725,360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55,529</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1,946,291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19,323</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677,271</w:t>
            </w:r>
          </w:p>
        </w:tc>
      </w:tr>
      <w:tr>
        <w:trPr/>
        <w:tc>
          <w:tcPr>
            <w:tcW w:w="721" w:type="dxa"/>
            <w:tcBorders/>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Michelle Keating</w:t>
            </w:r>
          </w:p>
        </w:tc>
        <w:tc>
          <w:tcPr>
            <w:tcW w:w="226" w:type="dxa"/>
            <w:tcBorders/>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  ​</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8/15/2023</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13,880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486,494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3,430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120,222</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9,638</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337,816</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8,574</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300,519</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11,989</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420,214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r>
      <w:tr>
        <w:trPr/>
        <w:tc>
          <w:tcPr>
            <w:tcW w:w="72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FB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BFBFB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8/15/2025</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(b)</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5,994</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210,090</w:t>
            </w:r>
          </w:p>
        </w:tc>
        <w:tc>
          <w:tcPr>
            <w:tcW w:w="22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14,986</w:t>
            </w:r>
          </w:p>
        </w:tc>
        <w:tc>
          <w:tcPr>
            <w:tcW w:w="346" w:type="dxa"/>
            <w:tcBorders>
              <w:bottom w:val="single" w:sz="2" w:space="0" w:color="BFBFB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FB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525,259</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13"/>
              </w:rPr>
            </w:pPr>
            <w:r>
              <w:rPr>
                <w:rFonts w:ascii="Arial;Helvetica;sans-serif" w:hAnsi="Arial;Helvetica;sans-serif"/>
                <w:sz w:val="13"/>
              </w:rPr>
              <w:t>10/1/2025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(a)</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21,378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749,299</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72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13"/>
              </w:rPr>
            </w:pPr>
            <w:r>
              <w:rPr>
                <w:rFonts w:ascii="Arial;Helvetica;sans-serif" w:hAnsi="Arial;Helvetica;sans-serif"/>
                <w:sz w:val="13"/>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7F7F7F"/>
            </w:tcBorders>
            <w:tcMar>
              <w:bottom w:w="28" w:type="dxa"/>
            </w:tcMar>
            <w:vAlign w:val="center"/>
          </w:tcPr>
          <w:p>
            <w:pPr>
              <w:pStyle w:val="TableContents"/>
              <w:bidi w:val="0"/>
              <w:spacing w:before="0" w:after="1"/>
              <w:ind w:left="0" w:right="0" w:hanging="0"/>
              <w:jc w:val="center"/>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66,309</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2,324,134</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13"/>
              </w:rPr>
            </w:pPr>
            <w:r>
              <w:rPr>
                <w:rFonts w:ascii="Arial;Helvetica;sans-serif" w:hAnsi="Arial;Helvetica;sans-serif"/>
                <w:sz w:val="13"/>
              </w:rPr>
              <w:t>23,560</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7F7F7F"/>
            </w:tcBorders>
            <w:tcMar>
              <w:bottom w:w="28" w:type="dxa"/>
            </w:tcMar>
            <w:vAlign w:val="center"/>
          </w:tcPr>
          <w:p>
            <w:pPr>
              <w:pStyle w:val="TableContents"/>
              <w:bidi w:val="0"/>
              <w:spacing w:before="0" w:after="1"/>
              <w:ind w:left="0" w:right="45" w:hanging="0"/>
              <w:jc w:val="right"/>
              <w:rPr>
                <w:rFonts w:ascii="Arial;Helvetica;sans-serif" w:hAnsi="Arial;Helvetica;sans-serif"/>
                <w:sz w:val="13"/>
              </w:rPr>
            </w:pPr>
            <w:r>
              <w:rPr>
                <w:rFonts w:ascii="Arial;Helvetica;sans-serif" w:hAnsi="Arial;Helvetica;sans-serif"/>
                <w:sz w:val="13"/>
              </w:rPr>
              <w:t>825,778</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Notes and Supplemental Table to “Outstanding Equity Awards at Fiscal Year End 2026” Table</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64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29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15" descr=""/>
                    <pic:cNvPicPr>
                      <a:picLocks noChangeAspect="1" noChangeArrowheads="1"/>
                    </pic:cNvPicPr>
                  </pic:nvPicPr>
                  <pic:blipFill>
                    <a:blip r:embed="rId116"/>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ANALYSIS OF RISK INHERENT IN OUR COMPENSATION POLICIES AND PRACTICES</w:t>
      </w:r>
    </w:p>
    <w:tbl>
      <w:tblPr>
        <w:tblW w:w="2192" w:type="dxa"/>
        <w:jc w:val="left"/>
        <w:tblInd w:w="0" w:type="dxa"/>
        <w:tblLayout w:type="fixed"/>
        <w:tblCellMar>
          <w:top w:w="0" w:type="dxa"/>
          <w:left w:w="0" w:type="dxa"/>
          <w:bottom w:w="0" w:type="dxa"/>
          <w:right w:w="0" w:type="dxa"/>
        </w:tblCellMar>
      </w:tblPr>
      <w:tblGrid>
        <w:gridCol w:w="346"/>
        <w:gridCol w:w="18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8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Vesting Information</w:t>
            </w:r>
          </w:p>
        </w:tc>
      </w:tr>
    </w:tbl>
    <w:tbl>
      <w:tblPr>
        <w:tblW w:w="10205" w:type="dxa"/>
        <w:jc w:val="left"/>
        <w:tblInd w:w="0" w:type="dxa"/>
        <w:tblLayout w:type="fixed"/>
        <w:tblCellMar>
          <w:top w:w="0" w:type="dxa"/>
          <w:left w:w="0" w:type="dxa"/>
          <w:bottom w:w="0" w:type="dxa"/>
          <w:right w:w="0" w:type="dxa"/>
        </w:tblCellMar>
      </w:tblPr>
      <w:tblGrid>
        <w:gridCol w:w="607"/>
        <w:gridCol w:w="226"/>
        <w:gridCol w:w="9372"/>
      </w:tblGrid>
      <w:tr>
        <w:trPr/>
        <w:tc>
          <w:tcPr>
            <w:tcW w:w="60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72" w:type="dxa"/>
            <w:tcBorders/>
            <w:vAlign w:val="center"/>
          </w:tcPr>
          <w:p>
            <w:pPr>
              <w:pStyle w:val="TableContents"/>
              <w:bidi w:val="0"/>
              <w:spacing w:before="0" w:after="0"/>
              <w:ind w:left="0" w:right="0" w:hanging="0"/>
              <w:jc w:val="left"/>
              <w:rPr/>
            </w:pPr>
            <w:r>
              <w:rPr/>
              <w:t>​</w:t>
            </w:r>
          </w:p>
        </w:tc>
      </w:tr>
      <w:tr>
        <w:trPr/>
        <w:tc>
          <w:tcPr>
            <w:tcW w:w="607" w:type="dxa"/>
            <w:tcBorders/>
            <w:shd w:fill="E5E5E5" w:val="clear"/>
            <w:vAlign w:val="center"/>
          </w:tcPr>
          <w:p>
            <w:pPr>
              <w:pStyle w:val="TableContents"/>
              <w:bidi w:val="0"/>
              <w:spacing w:before="40" w:after="40"/>
              <w:ind w:left="0" w:right="0" w:hanging="0"/>
              <w:jc w:val="left"/>
              <w:rPr>
                <w:rFonts w:ascii="Arial;Helvetica;sans-serif" w:hAnsi="Arial;Helvetica;sans-serif"/>
                <w:b/>
                <w:sz w:val="16"/>
              </w:rPr>
            </w:pPr>
            <w:r>
              <w:rPr>
                <w:rFonts w:ascii="Arial;Helvetica;sans-serif" w:hAnsi="Arial;Helvetica;sans-serif"/>
                <w:b/>
                <w:sz w:val="16"/>
              </w:rPr>
              <w:t>Grant Date</w:t>
            </w:r>
          </w:p>
        </w:tc>
        <w:tc>
          <w:tcPr>
            <w:tcW w:w="226" w:type="dxa"/>
            <w:tcBorders/>
            <w:shd w:fill="E5E5E5" w:val="clear"/>
            <w:vAlign w:val="center"/>
          </w:tcPr>
          <w:p>
            <w:pPr>
              <w:pStyle w:val="TableContents"/>
              <w:bidi w:val="0"/>
              <w:spacing w:before="40" w:after="40"/>
              <w:ind w:left="0" w:right="0" w:hanging="0"/>
              <w:jc w:val="left"/>
              <w:rPr/>
            </w:pPr>
            <w:r>
              <w:rPr/>
              <w:t>  ​</w:t>
            </w:r>
          </w:p>
        </w:tc>
        <w:tc>
          <w:tcPr>
            <w:tcW w:w="9372" w:type="dxa"/>
            <w:tcBorders/>
            <w:shd w:fill="E5E5E5" w:val="clear"/>
            <w:vAlign w:val="center"/>
          </w:tcPr>
          <w:p>
            <w:pPr>
              <w:pStyle w:val="TableContents"/>
              <w:bidi w:val="0"/>
              <w:spacing w:before="40" w:after="40"/>
              <w:ind w:left="0" w:right="0" w:hanging="0"/>
              <w:jc w:val="left"/>
              <w:rPr>
                <w:rFonts w:ascii="Arial;Helvetica;sans-serif" w:hAnsi="Arial;Helvetica;sans-serif"/>
                <w:b/>
                <w:sz w:val="16"/>
              </w:rPr>
            </w:pPr>
            <w:r>
              <w:rPr>
                <w:rFonts w:ascii="Arial;Helvetica;sans-serif" w:hAnsi="Arial;Helvetica;sans-serif"/>
                <w:b/>
                <w:sz w:val="16"/>
              </w:rPr>
              <w:t>Vesting Schedule</w:t>
            </w:r>
          </w:p>
        </w:tc>
      </w:tr>
      <w:tr>
        <w:trPr/>
        <w:tc>
          <w:tcPr>
            <w:tcW w:w="607"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left"/>
              <w:rPr>
                <w:rFonts w:ascii="Arial;Helvetica;sans-serif" w:hAnsi="Arial;Helvetica;sans-serif"/>
                <w:b/>
                <w:sz w:val="20"/>
              </w:rPr>
            </w:pPr>
            <w:r>
              <w:rPr>
                <w:rFonts w:ascii="Arial;Helvetica;sans-serif" w:hAnsi="Arial;Helvetica;sans-serif"/>
                <w:b/>
                <w:sz w:val="20"/>
              </w:rPr>
              <w:t>8/15/2023</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both"/>
              <w:rPr/>
            </w:pPr>
            <w:r>
              <w:rPr/>
              <w:t>​</w:t>
            </w:r>
          </w:p>
        </w:tc>
        <w:tc>
          <w:tcPr>
            <w:tcW w:w="9372" w:type="dxa"/>
            <w:tcBorders>
              <w:top w:val="single" w:sz="2" w:space="0" w:color="7F7F7F"/>
              <w:bottom w:val="single" w:sz="2" w:space="0" w:color="7F7F7F"/>
            </w:tcBorders>
            <w:tcMar>
              <w:top w:w="28" w:type="dxa"/>
              <w:bottom w:w="28" w:type="dxa"/>
            </w:tcMar>
            <w:vAlign w:val="center"/>
          </w:tcPr>
          <w:p>
            <w:pPr>
              <w:pStyle w:val="TableContents"/>
              <w:bidi w:val="0"/>
              <w:spacing w:before="60" w:after="100"/>
              <w:ind w:left="0" w:right="0" w:hanging="0"/>
              <w:jc w:val="both"/>
              <w:rPr>
                <w:rFonts w:ascii="Arial;Helvetica;sans-serif" w:hAnsi="Arial;Helvetica;sans-serif"/>
                <w:sz w:val="20"/>
              </w:rPr>
            </w:pPr>
            <w:r>
              <w:rPr>
                <w:rFonts w:ascii="Arial;Helvetica;sans-serif" w:hAnsi="Arial;Helvetica;sans-serif"/>
                <w:sz w:val="20"/>
              </w:rPr>
              <w:t>(a) The RSU awards granted on this date vest 1/3 each year over three years beginning on the first anniversary of the grant date.</w:t>
            </w:r>
          </w:p>
          <w:p>
            <w:pPr>
              <w:pStyle w:val="TableContents"/>
              <w:bidi w:val="0"/>
              <w:spacing w:before="0" w:after="40"/>
              <w:ind w:left="0" w:right="0" w:hanging="0"/>
              <w:jc w:val="both"/>
              <w:rPr>
                <w:rFonts w:ascii="Arial;Helvetica;sans-serif" w:hAnsi="Arial;Helvetica;sans-serif"/>
                <w:sz w:val="20"/>
              </w:rPr>
            </w:pPr>
            <w:r>
              <w:rPr>
                <w:rFonts w:ascii="Arial;Helvetica;sans-serif" w:hAnsi="Arial;Helvetica;sans-serif"/>
                <w:sz w:val="20"/>
              </w:rPr>
              <w:t>(b) The PSU Awards granted on this date are subject to annual Adjusted ROIC performance conditions and may be earned 22.22% each year over a three-year period if the performance conditions for each year are satisfied. Additionally, 33.34% of the PSU Awards are tied to Fiscal 2024 through Fiscal 2026 Adjusted EBITDA Margin. The Adjusted ROIC performance conditions underlying Year 3 (Fiscal 2026) of the performance period for this award were achieved and deemed earned by the Compensation and Human Capital Committee as of June 30, 2026, which was the end of the performance vesting period for these PSUs.</w:t>
            </w:r>
          </w:p>
        </w:tc>
      </w:tr>
      <w:tr>
        <w:trPr/>
        <w:tc>
          <w:tcPr>
            <w:tcW w:w="607"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left"/>
              <w:rPr>
                <w:rFonts w:ascii="Arial;Helvetica;sans-serif" w:hAnsi="Arial;Helvetica;sans-serif"/>
                <w:b/>
                <w:sz w:val="20"/>
              </w:rPr>
            </w:pPr>
            <w:r>
              <w:rPr>
                <w:rFonts w:ascii="Arial;Helvetica;sans-serif" w:hAnsi="Arial;Helvetica;sans-serif"/>
                <w:b/>
                <w:sz w:val="20"/>
              </w:rPr>
              <w:t>8/15/2024</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both"/>
              <w:rPr/>
            </w:pPr>
            <w:r>
              <w:rPr/>
              <w:t>​</w:t>
            </w:r>
          </w:p>
        </w:tc>
        <w:tc>
          <w:tcPr>
            <w:tcW w:w="9372" w:type="dxa"/>
            <w:tcBorders>
              <w:top w:val="single" w:sz="2" w:space="0" w:color="7F7F7F"/>
              <w:bottom w:val="single" w:sz="2" w:space="0" w:color="7F7F7F"/>
            </w:tcBorders>
            <w:tcMar>
              <w:top w:w="28" w:type="dxa"/>
              <w:bottom w:w="28" w:type="dxa"/>
            </w:tcMar>
            <w:vAlign w:val="center"/>
          </w:tcPr>
          <w:p>
            <w:pPr>
              <w:pStyle w:val="TableContents"/>
              <w:bidi w:val="0"/>
              <w:spacing w:before="60" w:after="100"/>
              <w:ind w:left="0" w:right="0" w:hanging="0"/>
              <w:jc w:val="both"/>
              <w:rPr>
                <w:rFonts w:ascii="Arial;Helvetica;sans-serif" w:hAnsi="Arial;Helvetica;sans-serif"/>
                <w:sz w:val="20"/>
              </w:rPr>
            </w:pPr>
            <w:r>
              <w:rPr>
                <w:rFonts w:ascii="Arial;Helvetica;sans-serif" w:hAnsi="Arial;Helvetica;sans-serif"/>
                <w:sz w:val="20"/>
              </w:rPr>
              <w:t>(a) The RSU awards granted on this date vest 1/3 each year over three years beginning on the first anniversary of the grant date.</w:t>
            </w:r>
          </w:p>
          <w:p>
            <w:pPr>
              <w:pStyle w:val="TableContents"/>
              <w:bidi w:val="0"/>
              <w:spacing w:before="0" w:after="40"/>
              <w:ind w:left="0" w:right="0" w:hanging="0"/>
              <w:jc w:val="both"/>
              <w:rPr>
                <w:rFonts w:ascii="Arial;Helvetica;sans-serif" w:hAnsi="Arial;Helvetica;sans-serif"/>
                <w:sz w:val="20"/>
              </w:rPr>
            </w:pPr>
            <w:r>
              <w:rPr>
                <w:rFonts w:ascii="Arial;Helvetica;sans-serif" w:hAnsi="Arial;Helvetica;sans-serif"/>
                <w:sz w:val="20"/>
              </w:rPr>
              <w:t>(b) The PSU Awards granted on this date are subject to annual Adjusted ROIC performance conditions and may be earned 22.22% each year over a three-year period if the performance conditions for each year are satisfied. Additionally, 33.34% of the PSU Awards are tied to Fiscal 2025 through Fiscal 2027 Adjusted EBITDA Margin. The Adjusted ROIC performance conditions underlying Year 2 (Fiscal 2026) of the performance period for this award were achieved and deemed earned by the Compensation and Human Capital Committee as of June 30, 2026. PSUs that are deemed earned for any given fiscal year remain subject to an additional service condition that requires the executive to be employed by us through the payment date following the three-year performance period. The number of PSUs which remain subject to performance conditions have been included in the “Equity Incentive Plan Awards: Number of Unearned Shares, Units or Other Rights that have Not Vested” column based on achieving target performance goals.</w:t>
            </w:r>
          </w:p>
        </w:tc>
      </w:tr>
      <w:tr>
        <w:trPr/>
        <w:tc>
          <w:tcPr>
            <w:tcW w:w="607"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left"/>
              <w:rPr>
                <w:rFonts w:ascii="Arial;Helvetica;sans-serif" w:hAnsi="Arial;Helvetica;sans-serif"/>
                <w:b/>
                <w:sz w:val="20"/>
              </w:rPr>
            </w:pPr>
            <w:r>
              <w:rPr>
                <w:rFonts w:ascii="Arial;Helvetica;sans-serif" w:hAnsi="Arial;Helvetica;sans-serif"/>
                <w:b/>
                <w:sz w:val="20"/>
              </w:rPr>
              <w:t>8/15/2025</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both"/>
              <w:rPr/>
            </w:pPr>
            <w:r>
              <w:rPr/>
              <w:t>​</w:t>
            </w:r>
          </w:p>
        </w:tc>
        <w:tc>
          <w:tcPr>
            <w:tcW w:w="9372" w:type="dxa"/>
            <w:tcBorders>
              <w:top w:val="single" w:sz="2" w:space="0" w:color="7F7F7F"/>
              <w:bottom w:val="single" w:sz="2" w:space="0" w:color="7F7F7F"/>
            </w:tcBorders>
            <w:tcMar>
              <w:top w:w="28" w:type="dxa"/>
              <w:bottom w:w="28" w:type="dxa"/>
            </w:tcMar>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(a) The RSU awards granted on this date vest 1/3 each year over three years beginning on the first anniversary of the grant date.</w:t>
            </w:r>
          </w:p>
          <w:p>
            <w:pPr>
              <w:pStyle w:val="TableContents"/>
              <w:bidi w:val="0"/>
              <w:spacing w:before="0" w:after="40"/>
              <w:ind w:left="0" w:right="0" w:hanging="0"/>
              <w:jc w:val="both"/>
              <w:rPr>
                <w:rFonts w:ascii="Arial;Helvetica;sans-serif" w:hAnsi="Arial;Helvetica;sans-serif"/>
                <w:sz w:val="20"/>
              </w:rPr>
            </w:pPr>
            <w:r>
              <w:rPr>
                <w:rFonts w:ascii="Arial;Helvetica;sans-serif" w:hAnsi="Arial;Helvetica;sans-serif"/>
                <w:sz w:val="20"/>
              </w:rPr>
              <w:t>(c) The PSU Awards granted on this date are subject to annual Adjusted ROIC performance conditions and may be earned 16.66% each year over a three-year period if the performance conditions for each year are satisfied. Additionally, 50% of the PSU Awards are tied to Fiscal 2026 through Fiscal 2028 Adjusted EBITDA Margin. The Adjusted ROIC performance conditions underlying Year 1 (Fiscal 2026) of the performance period for this award were achieved and deemed earned by the Compensation and Human Capital Committee as of June 30, 2026. PSUs that are deemed earned for any given fiscal year remain subject to an additional service condition that requires the executive to be employed by us through the payment date following the three-year performance period. The number of PSUs which remain subject to performance conditions have been included in the “Equity Incentive Plan Awards: Number of Unearned Shares, Units or Other Rights that have Not Vested” column based on achieving target performance goals.</w:t>
            </w:r>
          </w:p>
        </w:tc>
      </w:tr>
      <w:tr>
        <w:trPr/>
        <w:tc>
          <w:tcPr>
            <w:tcW w:w="607"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left"/>
              <w:rPr>
                <w:rFonts w:ascii="Arial;Helvetica;sans-serif" w:hAnsi="Arial;Helvetica;sans-serif"/>
                <w:b/>
                <w:sz w:val="20"/>
              </w:rPr>
            </w:pPr>
            <w:r>
              <w:rPr>
                <w:rFonts w:ascii="Arial;Helvetica;sans-serif" w:hAnsi="Arial;Helvetica;sans-serif"/>
                <w:b/>
                <w:sz w:val="20"/>
              </w:rPr>
              <w:t>10/1/2025</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60" w:after="60"/>
              <w:ind w:left="0" w:right="0" w:hanging="0"/>
              <w:jc w:val="both"/>
              <w:rPr/>
            </w:pPr>
            <w:r>
              <w:rPr/>
              <w:t>​</w:t>
            </w:r>
          </w:p>
        </w:tc>
        <w:tc>
          <w:tcPr>
            <w:tcW w:w="9372" w:type="dxa"/>
            <w:tcBorders>
              <w:top w:val="single" w:sz="2" w:space="0" w:color="7F7F7F"/>
              <w:bottom w:val="single" w:sz="2" w:space="0" w:color="7F7F7F"/>
            </w:tcBorders>
            <w:tcMar>
              <w:top w:w="28" w:type="dxa"/>
              <w:bottom w:w="28" w:type="dxa"/>
            </w:tcMar>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(a) The RSU award granted on this date will cliff vest fully on October 1, 2026.</w:t>
            </w:r>
          </w:p>
          <w:p>
            <w:pPr>
              <w:pStyle w:val="TableContents"/>
              <w:bidi w:val="0"/>
              <w:spacing w:before="0" w:after="40"/>
              <w:ind w:left="0" w:right="0" w:hanging="0"/>
              <w:jc w:val="left"/>
              <w:rPr/>
            </w:pPr>
            <w:r>
              <w:rPr/>
              <w:t>​</w:t>
            </w:r>
          </w:p>
        </w:tc>
      </w:tr>
    </w:tbl>
    <w:p>
      <w:pPr>
        <w:pStyle w:val="TextBody"/>
        <w:bidi w:val="0"/>
        <w:spacing w:before="0" w:after="0"/>
        <w:ind w:left="0" w:right="0" w:hanging="0"/>
        <w:jc w:val="left"/>
        <w:rPr/>
      </w:pPr>
      <w:r>
        <w:rPr/>
        <w:t>​</w:t>
      </w:r>
    </w:p>
    <w:tbl>
      <w:tblPr>
        <w:tblW w:w="9077" w:type="dxa"/>
        <w:jc w:val="left"/>
        <w:tblInd w:w="0" w:type="dxa"/>
        <w:tblLayout w:type="fixed"/>
        <w:tblCellMar>
          <w:top w:w="0" w:type="dxa"/>
          <w:left w:w="0" w:type="dxa"/>
          <w:bottom w:w="0" w:type="dxa"/>
          <w:right w:w="0" w:type="dxa"/>
        </w:tblCellMar>
      </w:tblPr>
      <w:tblGrid>
        <w:gridCol w:w="346"/>
        <w:gridCol w:w="87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87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Market value is calculated using the closing price of our common stock on June 30, 2026 ($35.05).</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65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0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16" descr=""/>
                    <pic:cNvPicPr>
                      <a:picLocks noChangeAspect="1" noChangeArrowheads="1"/>
                    </pic:cNvPicPr>
                  </pic:nvPicPr>
                  <pic:blipFill>
                    <a:blip r:embed="rId117"/>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ANALYSIS OF RISK INHERENT IN OUR COMPENSATION POLICIES AND PRACTICES</w:t>
      </w:r>
    </w:p>
    <w:p>
      <w:pPr>
        <w:pStyle w:val="TextBody"/>
        <w:bidi w:val="0"/>
        <w:spacing w:before="0" w:after="120"/>
        <w:ind w:left="0" w:right="0" w:hanging="0"/>
        <w:jc w:val="left"/>
        <w:rPr>
          <w:rFonts w:ascii="Arial;Helvetica;sans-serif" w:hAnsi="Arial;Helvetica;sans-serif"/>
          <w:sz w:val="24"/>
        </w:rPr>
      </w:pPr>
      <w:r>
        <w:rPr>
          <w:rFonts w:ascii="Arial;Helvetica;sans-serif" w:hAnsi="Arial;Helvetica;sans-serif"/>
          <w:sz w:val="24"/>
        </w:rPr>
        <w:t>Option Exercises and Stock Vested In 2026</w:t>
      </w:r>
    </w:p>
    <w:tbl>
      <w:tblPr>
        <w:tblW w:w="7809" w:type="dxa"/>
        <w:jc w:val="left"/>
        <w:tblInd w:w="0" w:type="dxa"/>
        <w:tblLayout w:type="fixed"/>
        <w:tblCellMar>
          <w:top w:w="0" w:type="dxa"/>
          <w:left w:w="0" w:type="dxa"/>
          <w:bottom w:w="0" w:type="dxa"/>
          <w:right w:w="0" w:type="dxa"/>
        </w:tblCellMar>
      </w:tblPr>
      <w:tblGrid>
        <w:gridCol w:w="1576"/>
        <w:gridCol w:w="346"/>
        <w:gridCol w:w="1411"/>
        <w:gridCol w:w="346"/>
        <w:gridCol w:w="1021"/>
        <w:gridCol w:w="346"/>
        <w:gridCol w:w="1411"/>
        <w:gridCol w:w="346"/>
        <w:gridCol w:w="1006"/>
      </w:tblGrid>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778" w:type="dxa"/>
            <w:gridSpan w:val="3"/>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 Awards</w:t>
            </w:r>
          </w:p>
        </w:tc>
        <w:tc>
          <w:tcPr>
            <w:tcW w:w="346" w:type="dxa"/>
            <w:tcBorders/>
            <w:shd w:fill="E5E5E5" w:val="clear"/>
            <w:vAlign w:val="center"/>
          </w:tcPr>
          <w:p>
            <w:pPr>
              <w:pStyle w:val="TableContents"/>
              <w:bidi w:val="0"/>
              <w:spacing w:before="0" w:after="0"/>
              <w:ind w:left="0" w:right="0" w:hanging="0"/>
              <w:jc w:val="left"/>
              <w:rPr/>
            </w:pPr>
            <w:r>
              <w:rPr/>
              <w:t>​</w:t>
            </w:r>
          </w:p>
        </w:tc>
        <w:tc>
          <w:tcPr>
            <w:tcW w:w="2763" w:type="dxa"/>
            <w:gridSpan w:val="3"/>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Awards</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4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shd w:fill="E5E5E5" w:val="clear"/>
            <w:vAlign w:val="center"/>
          </w:tcPr>
          <w:p>
            <w:pPr>
              <w:pStyle w:val="TableContents"/>
              <w:bidi w:val="0"/>
              <w:spacing w:before="0" w:after="0"/>
              <w:ind w:left="0" w:right="0" w:hanging="0"/>
              <w:jc w:val="center"/>
              <w:rPr/>
            </w:pPr>
            <w:r>
              <w:rPr/>
              <w:t>​</w:t>
            </w:r>
          </w:p>
        </w:tc>
        <w:tc>
          <w:tcPr>
            <w:tcW w:w="102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c>
          <w:tcPr>
            <w:tcW w:w="346" w:type="dxa"/>
            <w:tcBorders/>
            <w:shd w:fill="E5E5E5" w:val="clear"/>
            <w:vAlign w:val="center"/>
          </w:tcPr>
          <w:p>
            <w:pPr>
              <w:pStyle w:val="TableContents"/>
              <w:bidi w:val="0"/>
              <w:spacing w:before="0" w:after="0"/>
              <w:ind w:left="0" w:right="0" w:hanging="0"/>
              <w:jc w:val="center"/>
              <w:rPr/>
            </w:pPr>
            <w:r>
              <w:rPr/>
              <w:t>​</w:t>
            </w:r>
          </w:p>
        </w:tc>
        <w:tc>
          <w:tcPr>
            <w:tcW w:w="14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4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 Acquired</w:t>
            </w:r>
          </w:p>
        </w:tc>
        <w:tc>
          <w:tcPr>
            <w:tcW w:w="346" w:type="dxa"/>
            <w:tcBorders/>
            <w:shd w:fill="E5E5E5" w:val="clear"/>
            <w:vAlign w:val="center"/>
          </w:tcPr>
          <w:p>
            <w:pPr>
              <w:pStyle w:val="TableContents"/>
              <w:bidi w:val="0"/>
              <w:spacing w:before="0" w:after="0"/>
              <w:ind w:left="0" w:right="0" w:hanging="0"/>
              <w:jc w:val="left"/>
              <w:rPr/>
            </w:pPr>
            <w:r>
              <w:rPr/>
              <w:t>​</w:t>
            </w:r>
          </w:p>
        </w:tc>
        <w:tc>
          <w:tcPr>
            <w:tcW w:w="102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Realized</w:t>
            </w:r>
          </w:p>
        </w:tc>
        <w:tc>
          <w:tcPr>
            <w:tcW w:w="346" w:type="dxa"/>
            <w:tcBorders/>
            <w:shd w:fill="E5E5E5" w:val="clear"/>
            <w:vAlign w:val="center"/>
          </w:tcPr>
          <w:p>
            <w:pPr>
              <w:pStyle w:val="TableContents"/>
              <w:bidi w:val="0"/>
              <w:spacing w:before="0" w:after="0"/>
              <w:ind w:left="0" w:right="0" w:hanging="0"/>
              <w:jc w:val="left"/>
              <w:rPr/>
            </w:pPr>
            <w:r>
              <w:rPr/>
              <w:t>​</w:t>
            </w:r>
          </w:p>
        </w:tc>
        <w:tc>
          <w:tcPr>
            <w:tcW w:w="14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 Acquired</w:t>
            </w:r>
          </w:p>
        </w:tc>
        <w:tc>
          <w:tcPr>
            <w:tcW w:w="346" w:type="dxa"/>
            <w:tcBorders/>
            <w:shd w:fill="E5E5E5" w:val="clear"/>
            <w:vAlign w:val="center"/>
          </w:tcPr>
          <w:p>
            <w:pPr>
              <w:pStyle w:val="TableContents"/>
              <w:bidi w:val="0"/>
              <w:spacing w:before="0" w:after="0"/>
              <w:ind w:left="0" w:right="0" w:hanging="0"/>
              <w:jc w:val="left"/>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Realized</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4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on Exercise</w:t>
            </w:r>
          </w:p>
        </w:tc>
        <w:tc>
          <w:tcPr>
            <w:tcW w:w="346" w:type="dxa"/>
            <w:tcBorders/>
            <w:shd w:fill="E5E5E5" w:val="clear"/>
            <w:vAlign w:val="center"/>
          </w:tcPr>
          <w:p>
            <w:pPr>
              <w:pStyle w:val="TableContents"/>
              <w:bidi w:val="0"/>
              <w:spacing w:before="0" w:after="0"/>
              <w:ind w:left="0" w:right="0" w:hanging="0"/>
              <w:jc w:val="left"/>
              <w:rPr/>
            </w:pPr>
            <w:r>
              <w:rPr/>
              <w:t>​</w:t>
            </w:r>
          </w:p>
        </w:tc>
        <w:tc>
          <w:tcPr>
            <w:tcW w:w="1021" w:type="dxa"/>
            <w:tcBorders/>
            <w:shd w:fill="E5E5E5"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on</w:t>
            </w:r>
            <w:r>
              <w:rPr>
                <w:rFonts w:ascii="Arial;Helvetica;sans-serif" w:hAnsi="Arial;Helvetica;sans-serif"/>
                <w:sz w:val="16"/>
              </w:rPr>
              <w:t> </w:t>
            </w:r>
            <w:r>
              <w:rPr>
                <w:rFonts w:ascii="Arial;Helvetica;sans-serif" w:hAnsi="Arial;Helvetica;sans-serif"/>
                <w:b/>
                <w:sz w:val="16"/>
              </w:rPr>
              <w:t>Exercise</w:t>
            </w:r>
          </w:p>
        </w:tc>
        <w:tc>
          <w:tcPr>
            <w:tcW w:w="346" w:type="dxa"/>
            <w:tcBorders/>
            <w:shd w:fill="E5E5E5" w:val="clear"/>
            <w:vAlign w:val="center"/>
          </w:tcPr>
          <w:p>
            <w:pPr>
              <w:pStyle w:val="TableContents"/>
              <w:bidi w:val="0"/>
              <w:spacing w:before="0" w:after="0"/>
              <w:ind w:left="0" w:right="0" w:hanging="0"/>
              <w:jc w:val="left"/>
              <w:rPr/>
            </w:pPr>
            <w:r>
              <w:rPr/>
              <w:t>​</w:t>
            </w:r>
          </w:p>
        </w:tc>
        <w:tc>
          <w:tcPr>
            <w:tcW w:w="14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on Vesting</w:t>
            </w:r>
          </w:p>
        </w:tc>
        <w:tc>
          <w:tcPr>
            <w:tcW w:w="346" w:type="dxa"/>
            <w:tcBorders/>
            <w:shd w:fill="E5E5E5" w:val="clear"/>
            <w:vAlign w:val="center"/>
          </w:tcPr>
          <w:p>
            <w:pPr>
              <w:pStyle w:val="TableContents"/>
              <w:bidi w:val="0"/>
              <w:spacing w:before="0" w:after="0"/>
              <w:ind w:left="0" w:right="0" w:hanging="0"/>
              <w:jc w:val="left"/>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on Vesting</w:t>
            </w:r>
          </w:p>
        </w:tc>
      </w:tr>
      <w:tr>
        <w:trPr/>
        <w:tc>
          <w:tcPr>
            <w:tcW w:w="157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1411"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1021"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1411"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bottom w:val="single" w:sz="2" w:space="0" w:color="7F7F7F"/>
            </w:tcBorders>
            <w:shd w:fill="E5E5E5" w:val="clear"/>
            <w:tcMar>
              <w:bottom w:w="28" w:type="dxa"/>
            </w:tcMar>
            <w:vAlign w:val="center"/>
          </w:tcPr>
          <w:p>
            <w:pPr>
              <w:pStyle w:val="TableContents"/>
              <w:bidi w:val="0"/>
              <w:spacing w:before="0" w:after="0"/>
              <w:ind w:left="0" w:right="0" w:hanging="0"/>
              <w:jc w:val="left"/>
              <w:rPr/>
            </w:pPr>
            <w:r>
              <w:rPr/>
              <w:t>  ​ ​ ​</w:t>
            </w:r>
          </w:p>
        </w:tc>
        <w:tc>
          <w:tcPr>
            <w:tcW w:w="1006" w:type="dxa"/>
            <w:tcBorders>
              <w:bottom w:val="single" w:sz="2" w:space="0" w:color="7F7F7F"/>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($)(1)(2)</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79,437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2,040,221</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30,011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777,552</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6,700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174,535</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4,266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110,255</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4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29,797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762,246</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Notes and Supplemental Tables to Option Exercises and Stock Vested in 2026 Table</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values represent the aggregate dollar amount realized upon vesting. The value is calculated by multiplying the number of shares of stock that vested by the market value of the shares on the vesting date.</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Regarding the vesting of RSU awards and PSUs, our NEOs surrendered shares to satisfy tax withholding requirements, which reduced the gross value received upon vesting. The number of shares surrendered and the corresponding value of those shares is shown below.</w:t>
            </w:r>
          </w:p>
        </w:tc>
      </w:tr>
    </w:tbl>
    <w:tbl>
      <w:tblPr>
        <w:tblW w:w="4475" w:type="dxa"/>
        <w:jc w:val="left"/>
        <w:tblInd w:w="0" w:type="dxa"/>
        <w:tblLayout w:type="fixed"/>
        <w:tblCellMar>
          <w:top w:w="0" w:type="dxa"/>
          <w:left w:w="0" w:type="dxa"/>
          <w:bottom w:w="0" w:type="dxa"/>
          <w:right w:w="0" w:type="dxa"/>
        </w:tblCellMar>
      </w:tblPr>
      <w:tblGrid>
        <w:gridCol w:w="1576"/>
        <w:gridCol w:w="346"/>
        <w:gridCol w:w="1081"/>
        <w:gridCol w:w="346"/>
        <w:gridCol w:w="112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000760" cy="175260"/>
                      <wp:effectExtent l="0" t="0" r="0" b="0"/>
                      <wp:wrapNone/>
                      <wp:docPr id="301" name="Frame185"/>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02"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86435" cy="175260"/>
                      <wp:effectExtent l="0" t="0" r="0" b="0"/>
                      <wp:wrapNone/>
                      <wp:docPr id="303" name="Frame18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04"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15010" cy="175260"/>
                      <wp:effectExtent l="0" t="0" r="0" b="0"/>
                      <wp:wrapNone/>
                      <wp:docPr id="305" name="Frame18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08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shd w:fill="E5E5E5" w:val="clear"/>
            <w:vAlign w:val="center"/>
          </w:tcPr>
          <w:p>
            <w:pPr>
              <w:pStyle w:val="TableContents"/>
              <w:bidi w:val="0"/>
              <w:spacing w:before="0" w:after="0"/>
              <w:ind w:left="0" w:right="0" w:hanging="0"/>
              <w:jc w:val="left"/>
              <w:rPr/>
            </w:pPr>
            <w:r>
              <w:rPr/>
              <w:t>​</w:t>
            </w:r>
          </w:p>
        </w:tc>
        <w:tc>
          <w:tcPr>
            <w:tcW w:w="1126" w:type="dxa"/>
            <w:tcBorders/>
            <w:shd w:fill="E5E5E5" w:val="clear"/>
            <w:vAlign w:val="center"/>
          </w:tcPr>
          <w:p>
            <w:pPr>
              <w:pStyle w:val="TableContents"/>
              <w:bidi w:val="0"/>
              <w:spacing w:before="0" w:after="0"/>
              <w:ind w:left="0" w:right="0" w:hanging="0"/>
              <w:jc w:val="center"/>
              <w:rPr/>
            </w:pPr>
            <w:r>
              <w:rPr/>
              <w:t>​</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08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shd w:fill="E5E5E5" w:val="clear"/>
            <w:vAlign w:val="center"/>
          </w:tcPr>
          <w:p>
            <w:pPr>
              <w:pStyle w:val="TableContents"/>
              <w:bidi w:val="0"/>
              <w:spacing w:before="0" w:after="0"/>
              <w:ind w:left="0" w:right="0" w:hanging="0"/>
              <w:jc w:val="left"/>
              <w:rPr/>
            </w:pPr>
            <w:r>
              <w:rPr/>
              <w:t>​</w:t>
            </w:r>
          </w:p>
        </w:tc>
        <w:tc>
          <w:tcPr>
            <w:tcW w:w="11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 of</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08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Surrendered</w:t>
            </w:r>
          </w:p>
        </w:tc>
        <w:tc>
          <w:tcPr>
            <w:tcW w:w="346" w:type="dxa"/>
            <w:tcBorders/>
            <w:shd w:fill="E5E5E5" w:val="clear"/>
            <w:vAlign w:val="center"/>
          </w:tcPr>
          <w:p>
            <w:pPr>
              <w:pStyle w:val="TableContents"/>
              <w:bidi w:val="0"/>
              <w:spacing w:before="0" w:after="0"/>
              <w:ind w:left="0" w:right="0" w:hanging="0"/>
              <w:jc w:val="left"/>
              <w:rPr/>
            </w:pPr>
            <w:r>
              <w:rPr/>
              <w:t>​</w:t>
            </w:r>
          </w:p>
        </w:tc>
        <w:tc>
          <w:tcPr>
            <w:tcW w:w="11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r>
      <w:tr>
        <w:trPr/>
        <w:tc>
          <w:tcPr>
            <w:tcW w:w="157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08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Tax</w:t>
            </w:r>
          </w:p>
        </w:tc>
        <w:tc>
          <w:tcPr>
            <w:tcW w:w="346" w:type="dxa"/>
            <w:tcBorders/>
            <w:shd w:fill="E5E5E5" w:val="clear"/>
            <w:vAlign w:val="center"/>
          </w:tcPr>
          <w:p>
            <w:pPr>
              <w:pStyle w:val="TableContents"/>
              <w:bidi w:val="0"/>
              <w:spacing w:before="0" w:after="0"/>
              <w:ind w:left="0" w:right="0" w:hanging="0"/>
              <w:jc w:val="left"/>
              <w:rPr/>
            </w:pPr>
            <w:r>
              <w:rPr/>
              <w:t>​</w:t>
            </w:r>
          </w:p>
        </w:tc>
        <w:tc>
          <w:tcPr>
            <w:tcW w:w="112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Surrendered</w:t>
            </w:r>
          </w:p>
        </w:tc>
      </w:tr>
      <w:tr>
        <w:trPr/>
        <w:tc>
          <w:tcPr>
            <w:tcW w:w="157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081"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Withholding</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126"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157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pPr>
            <w:r>
              <w:rPr/>
              <w:t> </w:t>
            </w:r>
          </w:p>
        </w:tc>
        <w:tc>
          <w:tcPr>
            <w:tcW w:w="1081"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31,260</w:t>
            </w:r>
          </w:p>
        </w:tc>
        <w:tc>
          <w:tcPr>
            <w:tcW w:w="34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802,195</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13,052</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337,588</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3,198</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82,629</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43,397</w:t>
            </w:r>
          </w:p>
        </w:tc>
      </w:tr>
      <w:tr>
        <w:trPr/>
        <w:tc>
          <w:tcPr>
            <w:tcW w:w="15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10,338</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271,847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66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0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17" descr=""/>
                    <pic:cNvPicPr>
                      <a:picLocks noChangeAspect="1" noChangeArrowheads="1"/>
                    </pic:cNvPicPr>
                  </pic:nvPicPr>
                  <pic:blipFill>
                    <a:blip r:embed="rId118"/>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ANALYSIS OF RISK INHERENT IN OUR COMPENSATION POLICIES AND PRACTICES</w:t>
      </w:r>
    </w:p>
    <w:p>
      <w:pPr>
        <w:pStyle w:val="TextBody"/>
        <w:bidi w:val="0"/>
        <w:spacing w:before="0" w:after="120"/>
        <w:ind w:left="0" w:right="0" w:hanging="0"/>
        <w:jc w:val="left"/>
        <w:rPr>
          <w:rFonts w:ascii="Arial;Helvetica;sans-serif" w:hAnsi="Arial;Helvetica;sans-serif"/>
          <w:b/>
          <w:caps/>
          <w:sz w:val="24"/>
        </w:rPr>
      </w:pPr>
      <w:bookmarkStart w:id="54" w:name="ExecutiveCompensationTablesand2023Nonqua"/>
      <w:bookmarkStart w:id="55" w:name="_8aaeba12_f8ad_4606_ad1b_9fe05e807543"/>
      <w:bookmarkEnd w:id="54"/>
      <w:bookmarkEnd w:id="55"/>
      <w:r>
        <w:rPr>
          <w:rFonts w:ascii="Arial;Helvetica;sans-serif" w:hAnsi="Arial;Helvetica;sans-serif"/>
          <w:b/>
          <w:caps/>
          <w:sz w:val="24"/>
        </w:rPr>
        <w:t xml:space="preserve">Executive Compensation Tables and 2026 Nonqualified Deferred Compensation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shows benefits our NEOs are entitled to under our retirement programs, which are described more fully in the narrative that follows and in the CD&amp;A.</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2026 Pension Benefits</w:t>
      </w:r>
    </w:p>
    <w:tbl>
      <w:tblPr>
        <w:tblW w:w="7854" w:type="dxa"/>
        <w:jc w:val="left"/>
        <w:tblInd w:w="0" w:type="dxa"/>
        <w:tblLayout w:type="fixed"/>
        <w:tblCellMar>
          <w:top w:w="0" w:type="dxa"/>
          <w:left w:w="0" w:type="dxa"/>
          <w:bottom w:w="0" w:type="dxa"/>
          <w:right w:w="0" w:type="dxa"/>
        </w:tblCellMar>
      </w:tblPr>
      <w:tblGrid>
        <w:gridCol w:w="1576"/>
        <w:gridCol w:w="346"/>
        <w:gridCol w:w="1156"/>
        <w:gridCol w:w="346"/>
        <w:gridCol w:w="1261"/>
        <w:gridCol w:w="346"/>
        <w:gridCol w:w="1396"/>
        <w:gridCol w:w="346"/>
        <w:gridCol w:w="108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000760" cy="175260"/>
                      <wp:effectExtent l="0" t="0" r="0" b="0"/>
                      <wp:wrapNone/>
                      <wp:docPr id="307" name="Frame19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08"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34060" cy="175260"/>
                      <wp:effectExtent l="0" t="0" r="0" b="0"/>
                      <wp:wrapNone/>
                      <wp:docPr id="309" name="Frame19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10"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800735" cy="175260"/>
                      <wp:effectExtent l="0" t="0" r="0" b="0"/>
                      <wp:wrapNone/>
                      <wp:docPr id="311" name="Frame19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12"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886460" cy="175260"/>
                      <wp:effectExtent l="0" t="0" r="0" b="0"/>
                      <wp:wrapNone/>
                      <wp:docPr id="313" name="Frame19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14"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86435" cy="175260"/>
                      <wp:effectExtent l="0" t="0" r="0" b="0"/>
                      <wp:wrapNone/>
                      <wp:docPr id="315" name="Frame19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26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shd w:fill="E5E5E5" w:val="clear"/>
            <w:vAlign w:val="center"/>
          </w:tcPr>
          <w:p>
            <w:pPr>
              <w:pStyle w:val="TableContents"/>
              <w:bidi w:val="0"/>
              <w:spacing w:before="0" w:after="1"/>
              <w:ind w:left="0" w:right="0" w:hanging="0"/>
              <w:jc w:val="left"/>
              <w:rPr/>
            </w:pPr>
            <w:r>
              <w:rPr/>
              <w:t>​</w:t>
            </w:r>
          </w:p>
        </w:tc>
        <w:tc>
          <w:tcPr>
            <w:tcW w:w="139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Present Value of</w:t>
            </w:r>
          </w:p>
        </w:tc>
        <w:tc>
          <w:tcPr>
            <w:tcW w:w="346" w:type="dxa"/>
            <w:tcBorders/>
            <w:shd w:fill="E5E5E5" w:val="clear"/>
            <w:vAlign w:val="center"/>
          </w:tcPr>
          <w:p>
            <w:pPr>
              <w:pStyle w:val="TableContents"/>
              <w:bidi w:val="0"/>
              <w:spacing w:before="0" w:after="1"/>
              <w:ind w:left="0" w:right="0" w:hanging="0"/>
              <w:jc w:val="left"/>
              <w:rPr/>
            </w:pPr>
            <w:r>
              <w:rPr/>
              <w:t>​</w:t>
            </w:r>
          </w:p>
        </w:tc>
        <w:tc>
          <w:tcPr>
            <w:tcW w:w="108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Payments</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26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Years Credited</w:t>
            </w:r>
          </w:p>
        </w:tc>
        <w:tc>
          <w:tcPr>
            <w:tcW w:w="346" w:type="dxa"/>
            <w:tcBorders/>
            <w:shd w:fill="E5E5E5" w:val="clear"/>
            <w:vAlign w:val="center"/>
          </w:tcPr>
          <w:p>
            <w:pPr>
              <w:pStyle w:val="TableContents"/>
              <w:bidi w:val="0"/>
              <w:spacing w:before="0" w:after="1"/>
              <w:ind w:left="0" w:right="0" w:hanging="0"/>
              <w:jc w:val="left"/>
              <w:rPr/>
            </w:pPr>
            <w:r>
              <w:rPr/>
              <w:t>​</w:t>
            </w:r>
          </w:p>
        </w:tc>
        <w:tc>
          <w:tcPr>
            <w:tcW w:w="139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shd w:fill="E5E5E5" w:val="clear"/>
            <w:vAlign w:val="center"/>
          </w:tcPr>
          <w:p>
            <w:pPr>
              <w:pStyle w:val="TableContents"/>
              <w:bidi w:val="0"/>
              <w:spacing w:before="0" w:after="1"/>
              <w:ind w:left="0" w:right="0" w:hanging="0"/>
              <w:jc w:val="left"/>
              <w:rPr/>
            </w:pPr>
            <w:r>
              <w:rPr/>
              <w:t>​</w:t>
            </w:r>
          </w:p>
        </w:tc>
        <w:tc>
          <w:tcPr>
            <w:tcW w:w="108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During Last</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26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Service</w:t>
            </w:r>
          </w:p>
        </w:tc>
        <w:tc>
          <w:tcPr>
            <w:tcW w:w="346" w:type="dxa"/>
            <w:tcBorders/>
            <w:shd w:fill="E5E5E5" w:val="clear"/>
            <w:vAlign w:val="center"/>
          </w:tcPr>
          <w:p>
            <w:pPr>
              <w:pStyle w:val="TableContents"/>
              <w:bidi w:val="0"/>
              <w:spacing w:before="0" w:after="1"/>
              <w:ind w:left="0" w:right="0" w:hanging="0"/>
              <w:jc w:val="left"/>
              <w:rPr/>
            </w:pPr>
            <w:r>
              <w:rPr/>
              <w:t>​</w:t>
            </w:r>
          </w:p>
        </w:tc>
        <w:tc>
          <w:tcPr>
            <w:tcW w:w="139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Benefit</w:t>
            </w:r>
          </w:p>
        </w:tc>
        <w:tc>
          <w:tcPr>
            <w:tcW w:w="346" w:type="dxa"/>
            <w:tcBorders/>
            <w:shd w:fill="E5E5E5" w:val="clear"/>
            <w:vAlign w:val="center"/>
          </w:tcPr>
          <w:p>
            <w:pPr>
              <w:pStyle w:val="TableContents"/>
              <w:bidi w:val="0"/>
              <w:spacing w:before="0" w:after="1"/>
              <w:ind w:left="0" w:right="0" w:hanging="0"/>
              <w:jc w:val="left"/>
              <w:rPr/>
            </w:pPr>
            <w:r>
              <w:rPr/>
              <w:t>​</w:t>
            </w:r>
          </w:p>
        </w:tc>
        <w:tc>
          <w:tcPr>
            <w:tcW w:w="108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r>
      <w:tr>
        <w:trPr/>
        <w:tc>
          <w:tcPr>
            <w:tcW w:w="157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Name(1)</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15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Plan Name(2)</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26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39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08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7F7F7F"/>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N/A</w:t>
            </w:r>
          </w:p>
        </w:tc>
      </w:tr>
    </w:tbl>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Notes to 2026 Pension Benefits Table</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Messrs. Chowbey, Watson, Bersaglini, Hamadi, and Ms. Keating do not participate in the Company’s ERP, described below.</w:t>
            </w:r>
          </w:p>
        </w:tc>
      </w:tr>
    </w:tbl>
    <w:tbl>
      <w:tblPr>
        <w:tblW w:w="10142" w:type="dxa"/>
        <w:jc w:val="left"/>
        <w:tblInd w:w="0" w:type="dxa"/>
        <w:tblLayout w:type="fixed"/>
        <w:tblCellMar>
          <w:top w:w="0" w:type="dxa"/>
          <w:left w:w="0" w:type="dxa"/>
          <w:bottom w:w="0" w:type="dxa"/>
          <w:right w:w="0" w:type="dxa"/>
        </w:tblCellMar>
      </w:tblPr>
      <w:tblGrid>
        <w:gridCol w:w="346"/>
        <w:gridCol w:w="979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79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Refer to the “</w:t>
            </w:r>
            <w:r>
              <w:rPr>
                <w:rFonts w:ascii="Arial;Helvetica;sans-serif" w:hAnsi="Arial;Helvetica;sans-serif"/>
                <w:b w:val="false"/>
                <w:i/>
                <w:sz w:val="20"/>
              </w:rPr>
              <w:t>Retirement Programs</w:t>
            </w:r>
            <w:r>
              <w:rPr>
                <w:caps w:val="false"/>
                <w:smallCaps w:val="false"/>
              </w:rPr>
              <w:t xml:space="preserve">” </w:t>
            </w:r>
            <w:r>
              <w:rPr>
                <w:rFonts w:ascii="Arial;Helvetica;sans-serif" w:hAnsi="Arial;Helvetica;sans-serif"/>
                <w:b w:val="false"/>
                <w:i w:val="false"/>
                <w:caps w:val="false"/>
                <w:smallCaps w:val="false"/>
                <w:sz w:val="20"/>
              </w:rPr>
              <w:t>section below for a narrative description of the material factors of the ERP.</w:t>
            </w:r>
          </w:p>
        </w:tc>
      </w:tr>
    </w:tbl>
    <w:p>
      <w:pPr>
        <w:pStyle w:val="TextBody"/>
        <w:bidi w:val="0"/>
        <w:spacing w:before="0" w:after="240"/>
        <w:ind w:left="0" w:right="0" w:hanging="0"/>
        <w:jc w:val="both"/>
        <w:rPr/>
      </w:pPr>
      <w:r>
        <w:rPr/>
        <w:t>​</w:t>
      </w:r>
    </w:p>
    <w:p>
      <w:pPr>
        <w:pStyle w:val="TextBody"/>
        <w:bidi w:val="0"/>
        <w:spacing w:before="240" w:after="120"/>
        <w:ind w:left="0" w:right="0" w:hanging="0"/>
        <w:jc w:val="left"/>
        <w:rPr/>
      </w:pPr>
      <w:r>
        <w:rPr/>
        <w:t>​</w:t>
      </w:r>
    </w:p>
    <w:p>
      <w:pPr>
        <w:pStyle w:val="TextBody"/>
        <w:bidi w:val="0"/>
        <w:spacing w:before="0" w:after="240"/>
        <w:ind w:left="0" w:right="0" w:hanging="0"/>
        <w:jc w:val="both"/>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67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1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18" descr=""/>
                    <pic:cNvPicPr>
                      <a:picLocks noChangeAspect="1" noChangeArrowheads="1"/>
                    </pic:cNvPicPr>
                  </pic:nvPicPr>
                  <pic:blipFill>
                    <a:blip r:embed="rId119"/>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pPr>
      <w:r>
        <w:rPr/>
        <w:t>​</w:t>
      </w:r>
    </w:p>
    <w:p>
      <w:pPr>
        <w:pStyle w:val="TextBody"/>
        <w:bidi w:val="0"/>
        <w:spacing w:before="0" w:after="120"/>
        <w:ind w:left="0" w:right="0" w:hanging="0"/>
        <w:jc w:val="left"/>
        <w:rPr>
          <w:rFonts w:ascii="Arial;Helvetica;sans-serif" w:hAnsi="Arial;Helvetica;sans-serif"/>
          <w:sz w:val="24"/>
        </w:rPr>
      </w:pPr>
      <w:bookmarkStart w:id="56" w:name="a2023NonqualifiedDeferredCompensation_19"/>
      <w:bookmarkStart w:id="57" w:name="_5eace061_1a29_4926_ae6f_70ca402b096a"/>
      <w:bookmarkEnd w:id="56"/>
      <w:bookmarkEnd w:id="57"/>
      <w:r>
        <w:rPr>
          <w:rFonts w:ascii="Arial;Helvetica;sans-serif" w:hAnsi="Arial;Helvetica;sans-serif"/>
          <w:b/>
          <w:sz w:val="24"/>
        </w:rPr>
        <w:t>2026 Nonqualified Deferred</w:t>
      </w:r>
      <w:r>
        <w:rPr>
          <w:rFonts w:ascii="Arial;Helvetica;sans-serif" w:hAnsi="Arial;Helvetica;sans-serif"/>
          <w:sz w:val="24"/>
        </w:rPr>
        <w:t xml:space="preserve"> </w:t>
      </w:r>
      <w:r>
        <w:rPr>
          <w:rFonts w:ascii="Arial;Helvetica;sans-serif" w:hAnsi="Arial;Helvetica;sans-serif"/>
          <w:b/>
          <w:sz w:val="24"/>
        </w:rPr>
        <w:t>Compensation and Retirement Programs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provides, for each NEO, their contributions, the Company’s contributions, the aggregate earnings and withdrawals in Fiscal 2026 and the aggregate balance, each under the Kennametal Restoration Plan, as of June 30, 2026.</w:t>
      </w:r>
    </w:p>
    <w:tbl>
      <w:tblPr>
        <w:tblW w:w="8786" w:type="dxa"/>
        <w:jc w:val="left"/>
        <w:tblInd w:w="0" w:type="dxa"/>
        <w:tblLayout w:type="fixed"/>
        <w:tblCellMar>
          <w:top w:w="0" w:type="dxa"/>
          <w:left w:w="0" w:type="dxa"/>
          <w:bottom w:w="0" w:type="dxa"/>
          <w:right w:w="0" w:type="dxa"/>
        </w:tblCellMar>
      </w:tblPr>
      <w:tblGrid>
        <w:gridCol w:w="1576"/>
        <w:gridCol w:w="346"/>
        <w:gridCol w:w="1216"/>
        <w:gridCol w:w="346"/>
        <w:gridCol w:w="1216"/>
        <w:gridCol w:w="346"/>
        <w:gridCol w:w="931"/>
        <w:gridCol w:w="346"/>
        <w:gridCol w:w="1141"/>
        <w:gridCol w:w="346"/>
        <w:gridCol w:w="97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000760" cy="175260"/>
                      <wp:effectExtent l="0" t="0" r="0" b="0"/>
                      <wp:wrapNone/>
                      <wp:docPr id="317" name="Frame19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18"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772160" cy="175260"/>
                      <wp:effectExtent l="0" t="0" r="0" b="0"/>
                      <wp:wrapNone/>
                      <wp:docPr id="319" name="Frame201"/>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20"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72160" cy="175260"/>
                      <wp:effectExtent l="0" t="0" r="0" b="0"/>
                      <wp:wrapNone/>
                      <wp:docPr id="321" name="Frame20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22"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91185" cy="175260"/>
                      <wp:effectExtent l="0" t="0" r="0" b="0"/>
                      <wp:wrapNone/>
                      <wp:docPr id="323" name="Frame2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24"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724535" cy="175260"/>
                      <wp:effectExtent l="0" t="0" r="0" b="0"/>
                      <wp:wrapNone/>
                      <wp:docPr id="325" name="Frame20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26"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19760" cy="175260"/>
                      <wp:effectExtent l="0" t="0" r="0" b="0"/>
                      <wp:wrapNone/>
                      <wp:docPr id="327" name="Frame20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21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Executive</w:t>
            </w:r>
          </w:p>
        </w:tc>
        <w:tc>
          <w:tcPr>
            <w:tcW w:w="346" w:type="dxa"/>
            <w:tcBorders/>
            <w:shd w:fill="E5E5E5" w:val="clear"/>
            <w:vAlign w:val="center"/>
          </w:tcPr>
          <w:p>
            <w:pPr>
              <w:pStyle w:val="TableContents"/>
              <w:bidi w:val="0"/>
              <w:spacing w:before="0" w:after="1"/>
              <w:ind w:left="0" w:right="0" w:hanging="0"/>
              <w:jc w:val="left"/>
              <w:rPr/>
            </w:pPr>
            <w:r>
              <w:rPr/>
              <w:t>​</w:t>
            </w:r>
          </w:p>
        </w:tc>
        <w:tc>
          <w:tcPr>
            <w:tcW w:w="121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Registrant</w:t>
            </w:r>
          </w:p>
        </w:tc>
        <w:tc>
          <w:tcPr>
            <w:tcW w:w="346" w:type="dxa"/>
            <w:tcBorders/>
            <w:shd w:fill="E5E5E5" w:val="clear"/>
            <w:vAlign w:val="center"/>
          </w:tcPr>
          <w:p>
            <w:pPr>
              <w:pStyle w:val="TableContents"/>
              <w:bidi w:val="0"/>
              <w:spacing w:before="0" w:after="1"/>
              <w:ind w:left="0" w:right="0" w:hanging="0"/>
              <w:jc w:val="left"/>
              <w:rPr/>
            </w:pPr>
            <w:r>
              <w:rPr/>
              <w:t>​</w:t>
            </w:r>
          </w:p>
        </w:tc>
        <w:tc>
          <w:tcPr>
            <w:tcW w:w="93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c>
          <w:tcPr>
            <w:tcW w:w="346" w:type="dxa"/>
            <w:tcBorders/>
            <w:shd w:fill="E5E5E5" w:val="clear"/>
            <w:vAlign w:val="center"/>
          </w:tcPr>
          <w:p>
            <w:pPr>
              <w:pStyle w:val="TableContents"/>
              <w:bidi w:val="0"/>
              <w:spacing w:before="0" w:after="1"/>
              <w:ind w:left="0" w:right="0" w:hanging="0"/>
              <w:jc w:val="left"/>
              <w:rPr/>
            </w:pPr>
            <w:r>
              <w:rPr/>
              <w:t>​</w:t>
            </w:r>
          </w:p>
        </w:tc>
        <w:tc>
          <w:tcPr>
            <w:tcW w:w="114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c>
          <w:tcPr>
            <w:tcW w:w="346" w:type="dxa"/>
            <w:tcBorders/>
            <w:shd w:fill="E5E5E5" w:val="clear"/>
            <w:vAlign w:val="center"/>
          </w:tcPr>
          <w:p>
            <w:pPr>
              <w:pStyle w:val="TableContents"/>
              <w:bidi w:val="0"/>
              <w:spacing w:before="0" w:after="1"/>
              <w:ind w:left="0" w:right="0" w:hanging="0"/>
              <w:jc w:val="left"/>
              <w:rPr/>
            </w:pPr>
            <w:r>
              <w:rPr/>
              <w:t>​</w:t>
            </w:r>
          </w:p>
        </w:tc>
        <w:tc>
          <w:tcPr>
            <w:tcW w:w="97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21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Contributions</w:t>
            </w:r>
          </w:p>
        </w:tc>
        <w:tc>
          <w:tcPr>
            <w:tcW w:w="346" w:type="dxa"/>
            <w:tcBorders/>
            <w:shd w:fill="E5E5E5" w:val="clear"/>
            <w:vAlign w:val="center"/>
          </w:tcPr>
          <w:p>
            <w:pPr>
              <w:pStyle w:val="TableContents"/>
              <w:bidi w:val="0"/>
              <w:spacing w:before="0" w:after="1"/>
              <w:ind w:left="0" w:right="0" w:hanging="0"/>
              <w:jc w:val="left"/>
              <w:rPr/>
            </w:pPr>
            <w:r>
              <w:rPr/>
              <w:t>​</w:t>
            </w:r>
          </w:p>
        </w:tc>
        <w:tc>
          <w:tcPr>
            <w:tcW w:w="121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Contributions</w:t>
            </w:r>
          </w:p>
        </w:tc>
        <w:tc>
          <w:tcPr>
            <w:tcW w:w="346" w:type="dxa"/>
            <w:tcBorders/>
            <w:shd w:fill="E5E5E5" w:val="clear"/>
            <w:vAlign w:val="center"/>
          </w:tcPr>
          <w:p>
            <w:pPr>
              <w:pStyle w:val="TableContents"/>
              <w:bidi w:val="0"/>
              <w:spacing w:before="0" w:after="1"/>
              <w:ind w:left="0" w:right="0" w:hanging="0"/>
              <w:jc w:val="left"/>
              <w:rPr/>
            </w:pPr>
            <w:r>
              <w:rPr/>
              <w:t>​</w:t>
            </w:r>
          </w:p>
        </w:tc>
        <w:tc>
          <w:tcPr>
            <w:tcW w:w="93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Earnings</w:t>
            </w:r>
          </w:p>
        </w:tc>
        <w:tc>
          <w:tcPr>
            <w:tcW w:w="346" w:type="dxa"/>
            <w:tcBorders/>
            <w:shd w:fill="E5E5E5" w:val="clear"/>
            <w:vAlign w:val="center"/>
          </w:tcPr>
          <w:p>
            <w:pPr>
              <w:pStyle w:val="TableContents"/>
              <w:bidi w:val="0"/>
              <w:spacing w:before="0" w:after="1"/>
              <w:ind w:left="0" w:right="0" w:hanging="0"/>
              <w:jc w:val="left"/>
              <w:rPr/>
            </w:pPr>
            <w:r>
              <w:rPr/>
              <w:t>​</w:t>
            </w:r>
          </w:p>
        </w:tc>
        <w:tc>
          <w:tcPr>
            <w:tcW w:w="114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Withdrawals/</w:t>
            </w:r>
          </w:p>
        </w:tc>
        <w:tc>
          <w:tcPr>
            <w:tcW w:w="346" w:type="dxa"/>
            <w:tcBorders/>
            <w:shd w:fill="E5E5E5" w:val="clear"/>
            <w:vAlign w:val="center"/>
          </w:tcPr>
          <w:p>
            <w:pPr>
              <w:pStyle w:val="TableContents"/>
              <w:bidi w:val="0"/>
              <w:spacing w:before="0" w:after="1"/>
              <w:ind w:left="0" w:right="0" w:hanging="0"/>
              <w:jc w:val="left"/>
              <w:rPr/>
            </w:pPr>
            <w:r>
              <w:rPr/>
              <w:t>​</w:t>
            </w:r>
          </w:p>
        </w:tc>
        <w:tc>
          <w:tcPr>
            <w:tcW w:w="97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Balance</w:t>
            </w:r>
          </w:p>
        </w:tc>
      </w:tr>
      <w:tr>
        <w:trPr/>
        <w:tc>
          <w:tcPr>
            <w:tcW w:w="157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21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During FY</w:t>
            </w:r>
          </w:p>
        </w:tc>
        <w:tc>
          <w:tcPr>
            <w:tcW w:w="346" w:type="dxa"/>
            <w:tcBorders/>
            <w:shd w:fill="E5E5E5" w:val="clear"/>
            <w:vAlign w:val="center"/>
          </w:tcPr>
          <w:p>
            <w:pPr>
              <w:pStyle w:val="TableContents"/>
              <w:bidi w:val="0"/>
              <w:spacing w:before="0" w:after="1"/>
              <w:ind w:left="0" w:right="0" w:hanging="0"/>
              <w:jc w:val="left"/>
              <w:rPr/>
            </w:pPr>
            <w:r>
              <w:rPr/>
              <w:t>​</w:t>
            </w:r>
          </w:p>
        </w:tc>
        <w:tc>
          <w:tcPr>
            <w:tcW w:w="121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During FY</w:t>
            </w:r>
          </w:p>
        </w:tc>
        <w:tc>
          <w:tcPr>
            <w:tcW w:w="346" w:type="dxa"/>
            <w:tcBorders/>
            <w:shd w:fill="E5E5E5" w:val="clear"/>
            <w:vAlign w:val="center"/>
          </w:tcPr>
          <w:p>
            <w:pPr>
              <w:pStyle w:val="TableContents"/>
              <w:bidi w:val="0"/>
              <w:spacing w:before="0" w:after="1"/>
              <w:ind w:left="0" w:right="0" w:hanging="0"/>
              <w:jc w:val="left"/>
              <w:rPr/>
            </w:pPr>
            <w:r>
              <w:rPr/>
              <w:t>​</w:t>
            </w:r>
          </w:p>
        </w:tc>
        <w:tc>
          <w:tcPr>
            <w:tcW w:w="93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During FY</w:t>
            </w:r>
          </w:p>
        </w:tc>
        <w:tc>
          <w:tcPr>
            <w:tcW w:w="346" w:type="dxa"/>
            <w:tcBorders/>
            <w:shd w:fill="E5E5E5" w:val="clear"/>
            <w:vAlign w:val="center"/>
          </w:tcPr>
          <w:p>
            <w:pPr>
              <w:pStyle w:val="TableContents"/>
              <w:bidi w:val="0"/>
              <w:spacing w:before="0" w:after="1"/>
              <w:ind w:left="0" w:right="0" w:hanging="0"/>
              <w:jc w:val="left"/>
              <w:rPr/>
            </w:pPr>
            <w:r>
              <w:rPr/>
              <w:t>​</w:t>
            </w:r>
          </w:p>
        </w:tc>
        <w:tc>
          <w:tcPr>
            <w:tcW w:w="1141"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Distributions</w:t>
            </w:r>
          </w:p>
        </w:tc>
        <w:tc>
          <w:tcPr>
            <w:tcW w:w="346" w:type="dxa"/>
            <w:tcBorders/>
            <w:shd w:fill="E5E5E5" w:val="clear"/>
            <w:vAlign w:val="center"/>
          </w:tcPr>
          <w:p>
            <w:pPr>
              <w:pStyle w:val="TableContents"/>
              <w:bidi w:val="0"/>
              <w:spacing w:before="0" w:after="1"/>
              <w:ind w:left="0" w:right="0" w:hanging="0"/>
              <w:jc w:val="left"/>
              <w:rPr/>
            </w:pPr>
            <w:r>
              <w:rPr/>
              <w:t>​</w:t>
            </w:r>
          </w:p>
        </w:tc>
        <w:tc>
          <w:tcPr>
            <w:tcW w:w="976" w:type="dxa"/>
            <w:tcBorders/>
            <w:shd w:fill="E5E5E5" w:val="cle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b/>
                <w:sz w:val="16"/>
              </w:rPr>
              <w:t>at</w:t>
            </w:r>
            <w:r>
              <w:rPr>
                <w:rFonts w:ascii="Arial;Helvetica;sans-serif" w:hAnsi="Arial;Helvetica;sans-serif"/>
                <w:sz w:val="16"/>
              </w:rPr>
              <w:t> </w:t>
            </w:r>
            <w:r>
              <w:rPr>
                <w:rFonts w:ascii="Arial;Helvetica;sans-serif" w:hAnsi="Arial;Helvetica;sans-serif"/>
                <w:b/>
                <w:sz w:val="16"/>
              </w:rPr>
              <w:t>FYE</w:t>
            </w:r>
          </w:p>
        </w:tc>
      </w:tr>
      <w:tr>
        <w:trPr/>
        <w:tc>
          <w:tcPr>
            <w:tcW w:w="157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21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($)(1)</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21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93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($)(3)</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1141"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46" w:type="dxa"/>
            <w:tcBorders>
              <w:bottom w:val="single" w:sz="2" w:space="0" w:color="7F7F7F"/>
            </w:tcBorders>
            <w:shd w:fill="E5E5E5" w:val="clear"/>
            <w:tcMar>
              <w:bottom w:w="28" w:type="dxa"/>
            </w:tcMar>
            <w:vAlign w:val="center"/>
          </w:tcPr>
          <w:p>
            <w:pPr>
              <w:pStyle w:val="TableContents"/>
              <w:bidi w:val="0"/>
              <w:spacing w:before="0" w:after="1"/>
              <w:ind w:left="0" w:right="0" w:hanging="0"/>
              <w:jc w:val="left"/>
              <w:rPr/>
            </w:pPr>
            <w:r>
              <w:rPr/>
              <w:t>  ​ ​ ​</w:t>
            </w:r>
          </w:p>
        </w:tc>
        <w:tc>
          <w:tcPr>
            <w:tcW w:w="976" w:type="dxa"/>
            <w:tcBorders>
              <w:bottom w:val="single" w:sz="2" w:space="0" w:color="7F7F7F"/>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($)(4)</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Sanjay Chowbey</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94,119</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104,386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11,107</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977,084</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Patrick Watson</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57,881</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37,834</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9,265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439,691</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Dave Bersaglini</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Faisal Hamadi</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7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Michelle Keating</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8,893</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22,892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7F7F7F"/>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283,259</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Notes to 2026 Nonqualified Deferred Compensation Table</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Amounts reflected are included in the “Salary” and “Non-Equity Incentive Plan Compensation” columns of the Summary Compensation Table above, as appropriate.</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Amounts reflected are included in the “All Other Compensation” column of the Summary Compensation Table above.</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6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Amounts reflected are not included as compensation for the relevant NEOs in the Summary Compensation Table above.</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contributions comprising a portion of the aggregate balance at the end of Fiscal Year 2026 were included in the compensation reported in the Summary Compensation Table and prior years’ summary compensation tables, as applicable.</w:t>
            </w:r>
          </w:p>
        </w:tc>
      </w:tr>
    </w:tbl>
    <w:p>
      <w:pPr>
        <w:pStyle w:val="TextBody"/>
        <w:bidi w:val="0"/>
        <w:spacing w:before="240" w:after="120"/>
        <w:ind w:left="0" w:right="0" w:hanging="0"/>
        <w:jc w:val="left"/>
        <w:rPr>
          <w:rFonts w:ascii="Arial;Helvetica;sans-serif" w:hAnsi="Arial;Helvetica;sans-serif"/>
          <w:b/>
          <w:sz w:val="24"/>
        </w:rPr>
      </w:pPr>
      <w:bookmarkStart w:id="58" w:name="RetirementPrograms_419488"/>
      <w:bookmarkEnd w:id="58"/>
      <w:r>
        <w:rPr>
          <w:rFonts w:ascii="Arial;Helvetica;sans-serif" w:hAnsi="Arial;Helvetica;sans-serif"/>
          <w:b/>
          <w:sz w:val="24"/>
        </w:rPr>
        <w:t xml:space="preserve">Retirement Programs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Qualified Defined Contribution Plan.</w:t>
      </w:r>
      <w:r>
        <w:rPr>
          <w:rFonts w:ascii="Arial;Helvetica;sans-serif" w:hAnsi="Arial;Helvetica;sans-serif"/>
          <w:sz w:val="20"/>
        </w:rPr>
        <w:t xml:space="preserve"> The TPP is a defined contribution plan or “401(k)” plan in which all NEOs participate and that the Company established to encourage investment and savings for eligible employees of business units, business entities and locations of Kennametal and its affiliates. Most eligible employees may elect to contribute from 1% to 50% of their “eligible compensation” to the TPP in the form of pre-tax, after-tax and/or Roth contributions. Unless they make a contrary election, any eligible employee who does not elect to participate by the first payroll period occurring no earlier than 45 days nor later than 90 days after first becoming eligible will have a 3% pre-tax contribution made on his or her behalf.</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Participating employees receive a Company matching contribution of 100% of employee pre-tax, after tax and/or Roth contributions up to 6% of eligible compensation. Matching contributions made to eligible employees working after January 1, 2017 are 100% vested and can be made in the form of cash. The employee contributions, Company contributions and earnings thereon are invested and ultimately paid out in accordance with elections made by the participant. Participants have the right to direct the TPP trustee regarding how to vote any shares of Company stock held in their accounts. Shares as to which no instructions are received are voted by the trustee in its sole discretion. See the Summary Compensation Table and accompanying notes for more information about Company contributions to the NEO’s accounts.</w:t>
      </w:r>
    </w:p>
    <w:p>
      <w:pPr>
        <w:pStyle w:val="Normal"/>
        <w:bidi w:val="0"/>
        <w:spacing w:before="0" w:after="0"/>
        <w:ind w:left="0" w:right="0" w:hanging="0"/>
        <w:jc w:val="left"/>
        <w:rPr>
          <w:sz w:val="4"/>
          <w:szCs w:val="4"/>
        </w:rPr>
      </w:pPr>
      <w:r>
        <w:rPr>
          <w:sz w:val="4"/>
          <w:szCs w:val="4"/>
        </w:rPr>
      </w:r>
      <w:bookmarkStart w:id="59" w:name="_bd24a938_0475_462f_9e35_78d59050b7a7"/>
      <w:bookmarkStart w:id="60" w:name="_bd24a938_0475_462f_9e35_78d59050b7a7"/>
      <w:bookmarkEnd w:id="60"/>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68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2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19" descr=""/>
                    <pic:cNvPicPr>
                      <a:picLocks noChangeAspect="1" noChangeArrowheads="1"/>
                    </pic:cNvPicPr>
                  </pic:nvPicPr>
                  <pic:blipFill>
                    <a:blip r:embed="rId120"/>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2026 Nonqualified Deferred Compensation and Retirement Programs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Non-Qualified Plans.</w:t>
      </w:r>
      <w:r>
        <w:rPr>
          <w:rFonts w:ascii="Arial;Helvetica;sans-serif" w:hAnsi="Arial;Helvetica;sans-serif"/>
          <w:sz w:val="20"/>
        </w:rPr>
        <w:t xml:space="preserve"> Our ERP, a non-qualified retirement plan is a legacy program that provides a formula-based benefit to eligible NEOs that is payable on a lump sum basis, and is no longer open to new participants. The amount of the benefit is based upon an executive’s accrued benefit percentage (which varies by age) and compensation (base salary together with AIP target awards averaged for the three most recent fiscal years). ERP benefits vest once an executive’s accrued benefit percentage reaches 150%. If an executive terminates employment prior to reaching age 62, then the accrued benefit percentage is reduced to reflect the accrued benefit percentage that was applicable to the executive two years prior to the date of termination. The ERP was frozen as of December 31, 2016, with no new participants permitted into the ERP and those in the ERP as of December 31, 2016, are grandfathered in the ERP.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Kennametal Restoration </w:t>
      </w:r>
      <w:r>
        <w:rPr>
          <w:rFonts w:ascii="Arial;Helvetica;sans-serif" w:hAnsi="Arial;Helvetica;sans-serif"/>
          <w:i/>
          <w:sz w:val="20"/>
        </w:rPr>
        <w:t>Plan</w:t>
      </w:r>
      <w:r>
        <w:rPr>
          <w:rFonts w:ascii="Arial;Helvetica;sans-serif" w:hAnsi="Arial;Helvetica;sans-serif"/>
          <w:sz w:val="20"/>
        </w:rPr>
        <w:t>, a non-qualified retirement plan, allows eligible NEOs to make pre-tax contributions on eligible compensation in excess of the Internal Revenue Code (IRC) Section 401(a)(17) dollar limits ($360,000 for 2026) applicable to the TPP. In addition, it provides for a “make whole” Company contribution equal to the maximum matching contributions not provided to eligible employees under the TPP on compensation in excess of this IRC limit on compensation that can be taken into account by the TPP. Company contributions are vested when made, however, subject to later forfeiture in the event the NEO is terminated for cause or engages in any business activities determined to be in competition with the Company. The NEO contributions, Company contributions and earnings thereon are invested in the same “notional options” available under the TPP (other than the brokerage option) and ultimately paid out in cash, in accordance with elections made by the participant.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69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2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20" descr=""/>
                    <pic:cNvPicPr>
                      <a:picLocks noChangeAspect="1" noChangeArrowheads="1"/>
                    </pic:cNvPicPr>
                  </pic:nvPicPr>
                  <pic:blipFill>
                    <a:blip r:embed="rId121"/>
                    <a:stretch>
                      <a:fillRect/>
                    </a:stretch>
                  </pic:blipFill>
                  <pic:spPr bwMode="auto">
                    <a:xfrm>
                      <a:off x="0" y="0"/>
                      <a:ext cx="6858000" cy="480695"/>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61" w:name="EquityCompensationPlans_173293"/>
      <w:bookmarkStart w:id="62" w:name="_d5d7ce09_b2a5_4601_8a74_0e704bd88abd"/>
      <w:bookmarkEnd w:id="61"/>
      <w:bookmarkEnd w:id="62"/>
      <w:r>
        <w:rPr>
          <w:rFonts w:ascii="Arial;Helvetica;sans-serif" w:hAnsi="Arial;Helvetica;sans-serif"/>
          <w:b/>
          <w:sz w:val="32"/>
        </w:rPr>
        <w:t xml:space="preserve">Equity Compensation Plans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equity compensation plans are summarized below. Grant practices and related information are generally described in the CD&amp;A.</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Kennametal Inc. 2024 Stock and Incentive Plan.</w:t>
      </w:r>
      <w:r>
        <w:rPr>
          <w:rFonts w:ascii="Arial;Helvetica;sans-serif" w:hAnsi="Arial;Helvetica;sans-serif"/>
          <w:sz w:val="20"/>
        </w:rPr>
        <w:t xml:space="preserve"> The Kennametal Inc. Stock and Incentive Plan of 2024 (the “2024 Plan”), a shareowner approved plan, provides for the granting of nonstatutory and incentive stock options, incentive bonus awards, performance share awards, PSU awards, restricted stock awards, RSU awards, stock appreciation rights, share awards, stock unit awards and other share-based awards. The aggregate number of shares available for issuance under the 2024 Plan as of June 30, 2026, was 5,393,307.</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Kennametal Inc. 2020 Stock and Incentive Plan.</w:t>
      </w:r>
      <w:r>
        <w:rPr>
          <w:rFonts w:ascii="Arial;Helvetica;sans-serif" w:hAnsi="Arial;Helvetica;sans-serif"/>
          <w:sz w:val="20"/>
        </w:rPr>
        <w:t xml:space="preserve"> The Kennametal Inc. Stock and Incentive Plan of 2020 (the “2020 Plan”), a shareowner approved plan, provides for the granting of nonstatutory and incentive stock options, incentive bonus awards, performance share awards, PSU awards, restricted stock awards, RSU awards, stock appreciation rights, share awards, stock unit awards and other share-based awards. Shares remaining in the 2020 Plan were consumed under the 2024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Performance Bonus Stock Plan of 1995, as amended and restated on December 30, 2008 (the “Bonus Stock Plan”), a shareowner approved plan, provided for the issuance of not more than 1,500,000 shares, of which 121,058 remain available for issuance, as of June 30, 2026. The Bonus Stock Plan permitted certain persons (including management and/or senior executives of the Company or its subsidiaries) who participated in the Kennametal Inc. AIP, as amended, and certain other performance-based bonus compensation plans to (i) elect to receive shares of the Company’s capital stock in lieu of all or any portion of cash bonus compensation owed to such person; and/or (ii) elect to have stock credits, in lieu of all or any portion of cash bonus compensation owed to such person, credited to an account established for such person by the Company. For Fiscal 2026, the above-mentioned election options under the Bonus Stock Plan were not made available to AIP participants.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Directors Stock Incentive Plan, which is a non-shareowner approved plan, provides for the issuance of not more than 400,000 shares, of which 48,645 remain available for issuance as of June 30, 2026. The plan allows any non-employee director to elect to receive shares of our capital stock in lieu of all or a portion of any Board or committee compensation that is otherwise payable to such non-employee director in any plan year or to receive stock credits for any Board or committee compensation that is deferred for any plan year pursuant to the Deferred Fee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sets forth information about our equity compensation plans as of June 30, 2026.</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Equity Compensation Plan Information</w:t>
      </w:r>
    </w:p>
    <w:tbl>
      <w:tblPr>
        <w:tblW w:w="10205" w:type="dxa"/>
        <w:jc w:val="left"/>
        <w:tblInd w:w="0" w:type="dxa"/>
        <w:tblLayout w:type="fixed"/>
        <w:tblCellMar>
          <w:top w:w="0" w:type="dxa"/>
          <w:left w:w="0" w:type="dxa"/>
          <w:bottom w:w="0" w:type="dxa"/>
          <w:right w:w="0" w:type="dxa"/>
        </w:tblCellMar>
      </w:tblPr>
      <w:tblGrid>
        <w:gridCol w:w="3262"/>
        <w:gridCol w:w="346"/>
        <w:gridCol w:w="2266"/>
        <w:gridCol w:w="346"/>
        <w:gridCol w:w="1822"/>
        <w:gridCol w:w="346"/>
        <w:gridCol w:w="1817"/>
      </w:tblGrid>
      <w:tr>
        <w:trPr/>
        <w:tc>
          <w:tcPr>
            <w:tcW w:w="3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1370" cy="175260"/>
                      <wp:effectExtent l="0" t="0" r="0" b="0"/>
                      <wp:wrapNone/>
                      <wp:docPr id="330" name="Frame210"/>
                      <a:graphic xmlns:a="http://schemas.openxmlformats.org/drawingml/2006/main">
                        <a:graphicData uri="http://schemas.microsoft.com/office/word/2010/wordprocessingShape">
                          <wps:wsp>
                            <wps:cNvSpPr txBox="1"/>
                            <wps:spPr>
                              <a:xfrm>
                                <a:off x="0" y="0"/>
                                <a:ext cx="207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3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38910" cy="175260"/>
                      <wp:effectExtent l="0" t="0" r="0" b="0"/>
                      <wp:wrapNone/>
                      <wp:docPr id="332" name="Frame21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3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156970" cy="175260"/>
                      <wp:effectExtent l="0" t="0" r="0" b="0"/>
                      <wp:wrapNone/>
                      <wp:docPr id="334" name="Frame214"/>
                      <a:graphic xmlns:a="http://schemas.openxmlformats.org/drawingml/2006/main">
                        <a:graphicData uri="http://schemas.microsoft.com/office/word/2010/wordprocessingShape">
                          <wps:wsp>
                            <wps:cNvSpPr txBox="1"/>
                            <wps:spPr>
                              <a:xfrm>
                                <a:off x="0" y="0"/>
                                <a:ext cx="1156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3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153795" cy="175260"/>
                      <wp:effectExtent l="0" t="0" r="0" b="0"/>
                      <wp:wrapNone/>
                      <wp:docPr id="336" name="Frame216"/>
                      <a:graphic xmlns:a="http://schemas.openxmlformats.org/drawingml/2006/main">
                        <a:graphicData uri="http://schemas.microsoft.com/office/word/2010/wordprocessingShape">
                          <wps:wsp>
                            <wps:cNvSpPr txBox="1"/>
                            <wps:spPr>
                              <a:xfrm>
                                <a:off x="0" y="0"/>
                                <a:ext cx="1153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 Securities</w: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Remaining Available</w: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Future Issuance</w: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Under Equity</w: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 Securities to</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 Average</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be Issued Upon Exercise of</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 of</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Plans (Excluding</w: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 Options,</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 Options,</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Securities Reflected</w:t>
            </w:r>
          </w:p>
        </w:tc>
      </w:tr>
      <w:tr>
        <w:trPr/>
        <w:tc>
          <w:tcPr>
            <w:tcW w:w="3262"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w:t>
            </w:r>
          </w:p>
        </w:tc>
        <w:tc>
          <w:tcPr>
            <w:tcW w:w="226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Warrants and Rights</w:t>
            </w:r>
          </w:p>
        </w:tc>
        <w:tc>
          <w:tcPr>
            <w:tcW w:w="346" w:type="dxa"/>
            <w:tcBorders/>
            <w:shd w:fill="E5E5E5" w:val="clear"/>
            <w:vAlign w:val="center"/>
          </w:tcPr>
          <w:p>
            <w:pPr>
              <w:pStyle w:val="TableContents"/>
              <w:bidi w:val="0"/>
              <w:spacing w:before="0" w:after="0"/>
              <w:ind w:left="0" w:right="0" w:hanging="0"/>
              <w:jc w:val="left"/>
              <w:rPr/>
            </w:pPr>
            <w:r>
              <w:rPr/>
              <w:t>​</w:t>
            </w:r>
          </w:p>
        </w:tc>
        <w:tc>
          <w:tcPr>
            <w:tcW w:w="1822"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Warrants and Rights</w:t>
            </w:r>
          </w:p>
        </w:tc>
        <w:tc>
          <w:tcPr>
            <w:tcW w:w="346" w:type="dxa"/>
            <w:tcBorders/>
            <w:shd w:fill="E5E5E5" w:val="clear"/>
            <w:vAlign w:val="center"/>
          </w:tcPr>
          <w:p>
            <w:pPr>
              <w:pStyle w:val="TableContents"/>
              <w:bidi w:val="0"/>
              <w:spacing w:before="0" w:after="0"/>
              <w:ind w:left="0" w:right="0" w:hanging="0"/>
              <w:jc w:val="left"/>
              <w:rPr/>
            </w:pPr>
            <w:r>
              <w:rPr/>
              <w:t>​</w:t>
            </w:r>
          </w:p>
        </w:tc>
        <w:tc>
          <w:tcPr>
            <w:tcW w:w="181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Column A)</w:t>
            </w:r>
          </w:p>
        </w:tc>
      </w:tr>
      <w:tr>
        <w:trPr/>
        <w:tc>
          <w:tcPr>
            <w:tcW w:w="3262"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Plan Category</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2266"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A(1)</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822"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B(2)</w:t>
            </w:r>
          </w:p>
        </w:tc>
        <w:tc>
          <w:tcPr>
            <w:tcW w:w="346" w:type="dxa"/>
            <w:tcBorders>
              <w:bottom w:val="single" w:sz="2" w:space="0" w:color="000000"/>
            </w:tcBorders>
            <w:shd w:fill="E5E5E5" w:val="clear"/>
            <w:tcMar>
              <w:bottom w:w="28" w:type="dxa"/>
            </w:tcMar>
            <w:vAlign w:val="center"/>
          </w:tcPr>
          <w:p>
            <w:pPr>
              <w:pStyle w:val="TableContents"/>
              <w:bidi w:val="0"/>
              <w:spacing w:before="0" w:after="0"/>
              <w:ind w:left="0" w:right="0" w:hanging="0"/>
              <w:jc w:val="left"/>
              <w:rPr/>
            </w:pPr>
            <w:r>
              <w:rPr/>
              <w:t>  ​ ​ ​</w:t>
            </w:r>
          </w:p>
        </w:tc>
        <w:tc>
          <w:tcPr>
            <w:tcW w:w="1817" w:type="dxa"/>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w:t>
            </w:r>
          </w:p>
        </w:tc>
      </w:tr>
      <w:tr>
        <w:trPr/>
        <w:tc>
          <w:tcPr>
            <w:tcW w:w="32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2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2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compensation plans approved by shareowners (3)</w:t>
            </w:r>
          </w:p>
        </w:tc>
        <w:tc>
          <w:tcPr>
            <w:tcW w:w="346" w:type="dxa"/>
            <w:tcBorders/>
            <w:vAlign w:val="center"/>
          </w:tcPr>
          <w:p>
            <w:pPr>
              <w:pStyle w:val="TableContents"/>
              <w:bidi w:val="0"/>
              <w:spacing w:before="0" w:after="0"/>
              <w:ind w:left="0" w:right="0" w:hanging="0"/>
              <w:jc w:val="left"/>
              <w:rPr/>
            </w:pPr>
            <w:r>
              <w:rPr/>
              <w:t> </w:t>
            </w:r>
          </w:p>
        </w:tc>
        <w:tc>
          <w:tcPr>
            <w:tcW w:w="22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2,512,687</w:t>
            </w:r>
          </w:p>
        </w:tc>
        <w:tc>
          <w:tcPr>
            <w:tcW w:w="346" w:type="dxa"/>
            <w:tcBorders/>
            <w:vAlign w:val="center"/>
          </w:tcPr>
          <w:p>
            <w:pPr>
              <w:pStyle w:val="TableContents"/>
              <w:bidi w:val="0"/>
              <w:spacing w:before="0" w:after="0"/>
              <w:ind w:left="0" w:right="0" w:hanging="0"/>
              <w:jc w:val="left"/>
              <w:rPr/>
            </w:pPr>
            <w:r>
              <w:rPr/>
              <w:t>​</w:t>
            </w:r>
          </w:p>
        </w:tc>
        <w:tc>
          <w:tcPr>
            <w:tcW w:w="1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5,514,366</w:t>
            </w:r>
          </w:p>
        </w:tc>
      </w:tr>
      <w:tr>
        <w:trPr/>
        <w:tc>
          <w:tcPr>
            <w:tcW w:w="3262"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6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82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81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2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compensation plans not approved by shareowners (4)</w:t>
            </w:r>
          </w:p>
        </w:tc>
        <w:tc>
          <w:tcPr>
            <w:tcW w:w="346" w:type="dxa"/>
            <w:tcBorders/>
            <w:vAlign w:val="center"/>
          </w:tcPr>
          <w:p>
            <w:pPr>
              <w:pStyle w:val="TableContents"/>
              <w:bidi w:val="0"/>
              <w:spacing w:before="0" w:after="0"/>
              <w:ind w:left="0" w:right="0" w:hanging="0"/>
              <w:jc w:val="left"/>
              <w:rPr/>
            </w:pPr>
            <w:r>
              <w:rPr/>
              <w:t> </w:t>
            </w:r>
          </w:p>
        </w:tc>
        <w:tc>
          <w:tcPr>
            <w:tcW w:w="22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15,581</w:t>
            </w:r>
          </w:p>
        </w:tc>
        <w:tc>
          <w:tcPr>
            <w:tcW w:w="346" w:type="dxa"/>
            <w:tcBorders/>
            <w:vAlign w:val="center"/>
          </w:tcPr>
          <w:p>
            <w:pPr>
              <w:pStyle w:val="TableContents"/>
              <w:bidi w:val="0"/>
              <w:spacing w:before="0" w:after="0"/>
              <w:ind w:left="0" w:right="0" w:hanging="0"/>
              <w:jc w:val="left"/>
              <w:rPr/>
            </w:pPr>
            <w:r>
              <w:rPr/>
              <w:t>​</w:t>
            </w:r>
          </w:p>
        </w:tc>
        <w:tc>
          <w:tcPr>
            <w:tcW w:w="1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48,645</w:t>
            </w:r>
          </w:p>
        </w:tc>
      </w:tr>
      <w:tr>
        <w:trPr/>
        <w:tc>
          <w:tcPr>
            <w:tcW w:w="3262"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6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82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81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26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226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2,528,268</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2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817"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5,563,010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This column also includes stock credits issued under the Bonus Stock Plan and Directors Stock Incentive Plan, RSUs granted under the 2020 Plan which are then adjusted from target to units deemed earned based on the results of the annual performance period. For a description of the stock credits issued under the Bonus Plan see “</w:t>
            </w:r>
            <w:r>
              <w:rPr>
                <w:rFonts w:ascii="Arial;Helvetica;sans-serif" w:hAnsi="Arial;Helvetica;sans-serif"/>
                <w:b w:val="false"/>
                <w:i/>
                <w:sz w:val="20"/>
              </w:rPr>
              <w:t xml:space="preserve">Equity </w:t>
            </w:r>
          </w:p>
        </w:tc>
      </w:tr>
    </w:tbl>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70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3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21" descr=""/>
                    <pic:cNvPicPr>
                      <a:picLocks noChangeAspect="1" noChangeArrowheads="1"/>
                    </pic:cNvPicPr>
                  </pic:nvPicPr>
                  <pic:blipFill>
                    <a:blip r:embed="rId12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EQUITY COMPENSATION PLANS</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pPr>
            <w:r>
              <w:rPr>
                <w:rFonts w:ascii="Arial;Helvetica;sans-serif" w:hAnsi="Arial;Helvetica;sans-serif"/>
                <w:b w:val="false"/>
                <w:i/>
                <w:sz w:val="20"/>
              </w:rPr>
              <w:t>Compensation Plans</w:t>
            </w:r>
            <w:r>
              <w:rPr>
                <w:caps w:val="false"/>
                <w:smallCaps w:val="false"/>
              </w:rPr>
              <w:t xml:space="preserve">” </w:t>
            </w:r>
            <w:r>
              <w:rPr>
                <w:rFonts w:ascii="Arial;Helvetica;sans-serif" w:hAnsi="Arial;Helvetica;sans-serif"/>
                <w:b w:val="false"/>
                <w:i w:val="false"/>
                <w:caps w:val="false"/>
                <w:smallCaps w:val="false"/>
                <w:sz w:val="20"/>
              </w:rPr>
              <w:t>above. For a description of the stock credits issued under the Directors Stock Incentive Plan, see “</w:t>
            </w:r>
            <w:r>
              <w:rPr>
                <w:rFonts w:ascii="Arial;Helvetica;sans-serif" w:hAnsi="Arial;Helvetica;sans-serif"/>
                <w:b w:val="false"/>
                <w:i/>
                <w:sz w:val="20"/>
              </w:rPr>
              <w:t>Equity Compensation Plans</w:t>
            </w:r>
            <w:r>
              <w:rPr>
                <w:caps w:val="false"/>
                <w:smallCaps w:val="false"/>
              </w:rPr>
              <w:t xml:space="preserve">” </w:t>
            </w:r>
            <w:r>
              <w:rPr>
                <w:rFonts w:ascii="Arial;Helvetica;sans-serif" w:hAnsi="Arial;Helvetica;sans-serif"/>
                <w:b w:val="false"/>
                <w:i w:val="false"/>
                <w:caps w:val="false"/>
                <w:smallCaps w:val="false"/>
                <w:sz w:val="20"/>
              </w:rPr>
              <w:t>above and “</w:t>
            </w:r>
            <w:r>
              <w:rPr>
                <w:rFonts w:ascii="Arial;Helvetica;sans-serif" w:hAnsi="Arial;Helvetica;sans-serif"/>
                <w:b w:val="false"/>
                <w:i/>
                <w:sz w:val="20"/>
              </w:rPr>
              <w:t>Board of Directors Compensation and Benefits — Overview of Director Compensation — Directors Stock Incentive Plan.</w:t>
            </w:r>
            <w:r>
              <w:rPr>
                <w:caps w:val="false"/>
                <w:smallCaps w:val="false"/>
              </w:rPr>
              <w:t xml:space="preserve">” </w:t>
            </w:r>
            <w:r>
              <w:rPr>
                <w:rFonts w:ascii="Arial;Helvetica;sans-serif" w:hAnsi="Arial;Helvetica;sans-serif"/>
                <w:b w:val="false"/>
                <w:i w:val="false"/>
                <w:caps w:val="false"/>
                <w:smallCaps w:val="false"/>
                <w:sz w:val="20"/>
              </w:rPr>
              <w:t>For a description of the RSUs and PSUs issued under the 2020 Plan and the 2024 Plan, see the CD&amp;A.</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calculations of the weighted average exercise prices shown in this column do not include stock credits issued under the Bonus Stock Plan or the Directors Stock Incentive Plan, RSUs issued under the 2020 Plan.</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row includes information related to the 2020 Plan and the Bonus Stock Plan. As noted above, no further grants may be made from the 2002, 2010 or 2016 Plans. As of June 30, 2026, the number of securities available for future issuance under the 2024 Plan, other than upon the exercise of options, warrants or rights was 5,393,307  of which 4,056,794  can be granted as full value awards. The number of shares available for future issuance under the Bonus Stock Plan is 121,058. As of June 30, 2026, the number of shares available for future issuance under the 2024 Plan was 5,563,010.</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8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This row includes information related to the Directors Stock Incentive Plan. For a description of the Directors Stock Incentive Plan, see “</w:t>
            </w:r>
            <w:r>
              <w:rPr>
                <w:rFonts w:ascii="Arial;Helvetica;sans-serif" w:hAnsi="Arial;Helvetica;sans-serif"/>
                <w:b w:val="false"/>
                <w:i/>
                <w:sz w:val="20"/>
              </w:rPr>
              <w:t>Equity Compensation Plans</w:t>
            </w:r>
            <w:r>
              <w:rPr>
                <w:caps w:val="false"/>
                <w:smallCaps w:val="false"/>
              </w:rPr>
              <w:t xml:space="preserve">” </w:t>
            </w:r>
            <w:r>
              <w:rPr>
                <w:rFonts w:ascii="Arial;Helvetica;sans-serif" w:hAnsi="Arial;Helvetica;sans-serif"/>
                <w:b w:val="false"/>
                <w:i w:val="false"/>
                <w:caps w:val="false"/>
                <w:smallCaps w:val="false"/>
                <w:sz w:val="20"/>
              </w:rPr>
              <w:t>above.</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71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3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22" descr=""/>
                    <pic:cNvPicPr>
                      <a:picLocks noChangeAspect="1" noChangeArrowheads="1"/>
                    </pic:cNvPicPr>
                  </pic:nvPicPr>
                  <pic:blipFill>
                    <a:blip r:embed="rId123"/>
                    <a:stretch>
                      <a:fillRect/>
                    </a:stretch>
                  </pic:blipFill>
                  <pic:spPr bwMode="auto">
                    <a:xfrm>
                      <a:off x="0" y="0"/>
                      <a:ext cx="6858000" cy="480695"/>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63" w:name="PotentialPaymentsUponTerminationorChange"/>
      <w:bookmarkStart w:id="64" w:name="_e6890d8b_e4a9_46d8_bcf3_2438e9be5991"/>
      <w:bookmarkEnd w:id="63"/>
      <w:bookmarkEnd w:id="64"/>
      <w:r>
        <w:rPr>
          <w:rFonts w:ascii="Arial;Helvetica;sans-serif" w:hAnsi="Arial;Helvetica;sans-serif"/>
          <w:b/>
          <w:sz w:val="32"/>
        </w:rPr>
        <w:t xml:space="preserve">Potential Payments Upon Termination or Change in Control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In certain circumstances, our standard Officer’s Employment Agreement (the “Employment Agreement”) provides for post-termination payments to our NEOs upon termination of employment and/or in the event of a change in control. The material provisions of the Employment Agreement, which include certain restrictive covenants, are described in the CD&amp;A. Under the Employment Agreement, the amount a NEO would receive upon termination of his or her employment depends on the reason for his or her termination and whether the termination is in connection with a change in control. Our stock and incentive plans and programs, and certain of our retirement plans also include change in control provisions. The following discussion explains the effects of termination, both within and outside of the context of a change in control, under the Employment Agreement, our stock and incentive plans and programs, and our applicable retirement plans.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Termination of Employment — Definitions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terms set forth below generally have the following meanings under the Employment Agreement and as used in this section:</w:t>
      </w:r>
    </w:p>
    <w:p>
      <w:pPr>
        <w:pStyle w:val="TextBody"/>
        <w:bidi w:val="0"/>
        <w:spacing w:before="0" w:after="120"/>
        <w:ind w:left="0" w:right="0" w:hanging="0"/>
        <w:jc w:val="both"/>
        <w:rPr/>
      </w:pPr>
      <w:r>
        <w:rPr/>
        <w:t>“</w:t>
      </w:r>
      <w:r>
        <w:rPr>
          <w:rFonts w:ascii="Arial;Helvetica;sans-serif" w:hAnsi="Arial;Helvetica;sans-serif"/>
          <w:sz w:val="20"/>
        </w:rPr>
        <w:t>Change in Control” — means a change in control transaction of a nature that would be required to be reported in response to Item 6(e) of Schedule 14A promulgated under the Securities Exchange Act of 1934, as amended. Transactions that would be deemed a Change in Control include: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merger with any other corporation or entity other than one in which the Company owns all of the outstanding equity interests;</w:t>
            </w:r>
          </w:p>
        </w:tc>
      </w:tr>
    </w:tbl>
    <w:tbl>
      <w:tblPr>
        <w:tblW w:w="5762" w:type="dxa"/>
        <w:jc w:val="left"/>
        <w:tblInd w:w="0" w:type="dxa"/>
        <w:tblLayout w:type="fixed"/>
        <w:tblCellMar>
          <w:top w:w="0" w:type="dxa"/>
          <w:left w:w="0" w:type="dxa"/>
          <w:bottom w:w="0" w:type="dxa"/>
          <w:right w:w="0" w:type="dxa"/>
        </w:tblCellMar>
      </w:tblPr>
      <w:tblGrid>
        <w:gridCol w:w="271"/>
        <w:gridCol w:w="5491"/>
      </w:tblGrid>
      <w:tr>
        <w:trPr/>
        <w:tc>
          <w:tcPr>
            <w:tcW w:w="271" w:type="dxa"/>
            <w:tcBorders/>
            <w:vAlign w:val="center"/>
          </w:tcPr>
          <w:p>
            <w:pPr>
              <w:pStyle w:val="TableContents"/>
              <w:bidi w:val="0"/>
              <w:spacing w:before="0" w:after="283"/>
              <w:jc w:val="left"/>
              <w:rPr/>
            </w:pPr>
            <w:r>
              <w:rPr/>
              <w:t>●</w:t>
            </w:r>
          </w:p>
        </w:tc>
        <w:tc>
          <w:tcPr>
            <w:tcW w:w="54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sale of all or substantially all of the Company’s assets;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acquisition of 25% or more of the outstanding shares of the Company or the voting power of the outstanding voting securities of the Company together with or followed by a change in our Board’s composition such that a majority of the Board’s members does not include those who were members at the date of the acquisition or members whose election or nomination was approved by a majority of directors who were on the Board prior to the date of the acquisition.</w:t>
            </w:r>
          </w:p>
        </w:tc>
      </w:tr>
    </w:tbl>
    <w:p>
      <w:pPr>
        <w:pStyle w:val="TextBody"/>
        <w:bidi w:val="0"/>
        <w:spacing w:before="0" w:after="240"/>
        <w:ind w:left="0" w:right="0" w:hanging="0"/>
        <w:jc w:val="both"/>
        <w:rPr/>
      </w:pPr>
      <w:r>
        <w:rPr/>
        <w:t>“</w:t>
      </w:r>
      <w:r>
        <w:rPr>
          <w:rFonts w:ascii="Arial;Helvetica;sans-serif" w:hAnsi="Arial;Helvetica;sans-serif"/>
          <w:sz w:val="20"/>
        </w:rPr>
        <w:t>Cause” — generally means that the executive: (a) is guilty of malfeasance, willful misconduct or gross negligence in the performance of his duties; (b) has not made his services available to the Company on a full-time basis; or (c) has breached the non-competition provisions of the Employment Agreement.</w:t>
      </w:r>
    </w:p>
    <w:p>
      <w:pPr>
        <w:pStyle w:val="TextBody"/>
        <w:bidi w:val="0"/>
        <w:spacing w:before="0" w:after="240"/>
        <w:ind w:left="0" w:right="0" w:hanging="0"/>
        <w:jc w:val="both"/>
        <w:rPr/>
      </w:pPr>
      <w:r>
        <w:rPr/>
        <w:t>“</w:t>
      </w:r>
      <w:r>
        <w:rPr>
          <w:rFonts w:ascii="Arial;Helvetica;sans-serif" w:hAnsi="Arial;Helvetica;sans-serif"/>
          <w:sz w:val="20"/>
        </w:rPr>
        <w:t>Date of Termination” — generally means: (a) if executive’s employment is terminated due to his death or retirement, the date of death or retirement, respectively; or (b) if executive’s employment is terminated for any other reason, the date on which the termination becomes effective as stated in the written notice of termination given to or by the executive.</w:t>
      </w:r>
    </w:p>
    <w:p>
      <w:pPr>
        <w:pStyle w:val="TextBody"/>
        <w:bidi w:val="0"/>
        <w:spacing w:before="0" w:after="240"/>
        <w:ind w:left="0" w:right="0" w:hanging="0"/>
        <w:jc w:val="both"/>
        <w:rPr/>
      </w:pPr>
      <w:r>
        <w:rPr/>
        <w:t>“</w:t>
      </w:r>
      <w:r>
        <w:rPr>
          <w:rFonts w:ascii="Arial;Helvetica;sans-serif" w:hAnsi="Arial;Helvetica;sans-serif"/>
          <w:sz w:val="20"/>
        </w:rPr>
        <w:t>Good Reason” — generally means the occurrence of any of the following at or after a Change in Control: (a) a material diminution of responsibilities or such executive’s reporting responsibilities, titles or offices, as in effect immediately prior to a Change in Control; (b) a material reduction in base salary as in effect immediately prior to any Change in Control; (c) failure to provide comparable levels of incentive compensation; (d) a material reduction in benefit programs; (e) failure to obtain the assumption of the Employment Agreement by any successor Company; (f) the relocation of the executive to a facility more than 50 miles from present location; or (g) any purported termination of the executive by Kennametal, which is not for Cause or as a result of the executive’s death.</w:t>
      </w:r>
    </w:p>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72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3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23" descr=""/>
                    <pic:cNvPicPr>
                      <a:picLocks noChangeAspect="1" noChangeArrowheads="1"/>
                    </pic:cNvPicPr>
                  </pic:nvPicPr>
                  <pic:blipFill>
                    <a:blip r:embed="rId124"/>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POTENTIAL PAYMENTS UPON TERMINATION OR CHANGE IN CONTROL</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Termination of Employment — Outside of a Change in Control</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Termination Provisions under the Employment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Cash Severance.</w:t>
      </w:r>
      <w:r>
        <w:rPr>
          <w:rFonts w:ascii="Arial;Helvetica;sans-serif" w:hAnsi="Arial;Helvetica;sans-serif"/>
          <w:sz w:val="20"/>
        </w:rPr>
        <w:t xml:space="preserve"> If, with Board authorization, we involuntarily terminate an executive officer’s employment prior to a Change in Control and not for Cause, the executive is entitled to cash severance equal to 12 months of base salary as of the date of termination, payable as a lump sum, except for Mr. Chowbey, whose employment agreement provides, for cash severance equal to 24 months of base salary as of the date of termination, payable as a lump sum. Our executive officers are not entitled to severance under any other termination scenario outside of a Change in Control context.</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Termination Provisions Under Our Equity Compensation Plans and Programs</w:t>
      </w:r>
    </w:p>
    <w:p>
      <w:pPr>
        <w:pStyle w:val="TextBody"/>
        <w:bidi w:val="0"/>
        <w:spacing w:before="240" w:after="12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provide equity-based long-term incentive awards (LTI). (Please see the discussion in the CD&amp;A for further details of these programs.) LTI awards are granted under the 2024 Plan; however, certain of our NEOs also have restricted stock that are outstanding and were granted under the 2020 Plan.</w:t>
      </w:r>
    </w:p>
    <w:p>
      <w:pPr>
        <w:pStyle w:val="TextBody"/>
        <w:bidi w:val="0"/>
        <w:spacing w:before="240" w:after="12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2020 Plan and the 2024 Plan do not provide for additional benefits in the event of termination of employment except in the case of death, disability and retirement.  </w:t>
      </w:r>
    </w:p>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Death and Disability:</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Stock and RSU Awards — All unvested restricted shares and RSUs become fully vested and all restrictions lapse as of the date the awardee’s employment is terminated.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PSU Awards — In the event an awardee’s employment is terminated during the performance period because of death or disability, the service condition applicable to such awards will be waived. For completed fiscal years, the awardee will be entitled to receive payment for any PSUs that have been earned based on the achievement of the performance conditions applicable to such fiscal year. For fiscal years not completed, the performance conditions will be deemed to have been achieved at the target level and the awardee will be deemed to have earned for each such fiscal year a number of PSUs that were able to be earned for such fiscal year at the target level. In the event an awardee’s employment is terminated during the period between the end of the performance period and the payment date on account of death or disability, the service condition applicable to the award will be waived and the awardee will be entitled to receive payment for any PSUs that have been earned based on the achievement of the performance conditions prior to the date of death or disability (as described in this section).</w:t>
            </w:r>
          </w:p>
        </w:tc>
      </w:tr>
    </w:tbl>
    <w:p>
      <w:pPr>
        <w:pStyle w:val="TextBody"/>
        <w:bidi w:val="0"/>
        <w:spacing w:before="240" w:after="120"/>
        <w:ind w:left="0" w:right="0" w:hanging="0"/>
        <w:jc w:val="left"/>
        <w:rPr>
          <w:rFonts w:ascii="Arial;Helvetica;sans-serif" w:hAnsi="Arial;Helvetica;sans-serif"/>
          <w:b/>
          <w:i/>
          <w:sz w:val="20"/>
        </w:rPr>
      </w:pPr>
      <w:r>
        <w:rPr>
          <w:rFonts w:ascii="Arial;Helvetica;sans-serif" w:hAnsi="Arial;Helvetica;sans-serif"/>
          <w:b/>
          <w:i/>
          <w:sz w:val="20"/>
        </w:rPr>
        <w:t>Retirement: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Stock and RSU Awards — All unvested restricted shares and RSUs become fully vested and all restrictions lapse as of the date the awardee’s employment is terminated, except in the case of early retirement under the 2020 Plan, and 2024 Plan, in which case a pro-rata portion of the unvested restricted shares and RSUs become vested based upon the ratio of the number of days of employment during the vesting period in relation to the vesting period, with the balance forfeited.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PSU Awards — In the event that a retirement eligible awardee’s employment is terminated because of retirement during the performance period, the employment or service condition applicable to all outstanding Performance Share and Performance Unit Awards shall automatically lapse as of the date of retirement and the performance conditions applicable to all outstanding Performance Share and Performance Unit Awards will vest contingent upon and following determination of the actual achievement of such performance conditions for the performance period; except in the case of early retirement in which the employment or service condition shall lapse with respect to only a pro-rata portion of such Performance Share and Performance Unit Awards based upon the ratio of the number of days of the Grantee’s employment during the Award vesting period to the total number of days in the Award vesting period, and the remainder of such Performance Share and Performance Unit Awards shall terminate and be forfeited. Non-Competition Provisions:</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73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4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24" descr=""/>
                    <pic:cNvPicPr>
                      <a:picLocks noChangeAspect="1" noChangeArrowheads="1"/>
                    </pic:cNvPicPr>
                  </pic:nvPicPr>
                  <pic:blipFill>
                    <a:blip r:embed="rId125"/>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POTENTIAL PAYMENTS UPON TERMINATION OR CHANGE IN CONTROL</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Non-Competition Provisions — The right to vest in any restricted shares, RSUs, or PSUs is conditioned on compliance with certain non-competition provisions during employment and for two years after employment ends. Further, if the NEO received or is entitled to the delivery or vesting of stock during the last 12 months of employment or during the 24 months following termination, the Board of Directors may require the executive to forfeit the shares if it deems the executive engaged in Injurious Conduct (as defined in the plan documents).</w:t>
            </w:r>
          </w:p>
        </w:tc>
      </w:tr>
    </w:tbl>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Termination Provisions Under Certain of Our Retirement Plans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maintain various retirement plans: the ERP, the Kennametal Restoration Plan, and the TPP (a 401(k) plan). For a full summary of all plans see “2026 Nonqualified Deferred Compensation and Retirement Programs.” The amount payable under each retirement plan for each eligible NEO is determined by the plan’s benefit formula. The amount of benefits varies based upon the plan, the NEO’s years of service with us, and the NEO’s compensation. There are no additional benefits provided to any NEO in the event of termination of employment prior to a Change in Control. The right to receive benefits under the ERP and the Restoration Plan is conditioned on certain non-competition and non-solicitation provisions applicable during employment and for the three-year period following termination. The Compensation and Human Capital Committee reserves the right to take legal action to recover benefits that have already been paid.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Please see the tabular disclosures in the 2026 Pension Benefits table above as well as the narrative discussion following that table for more information on these plans.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Termination of Employment — In Connection with a Change in Control</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Termination Provisions under the Employment Agreement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Cash Severance.</w:t>
      </w:r>
      <w:r>
        <w:rPr>
          <w:rFonts w:ascii="Arial;Helvetica;sans-serif" w:hAnsi="Arial;Helvetica;sans-serif"/>
          <w:sz w:val="20"/>
        </w:rPr>
        <w:t xml:space="preserve"> For each listed NEO, if employment is terminated within six months prior to a Change in Control or two years after a Change in Control, each will receive two-times his or her base salary at the rate in effect on the date of the termination and two-times his or her target bonus for the year in which the termination occurred.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Continuation of medical and welfare benefits.</w:t>
      </w:r>
      <w:r>
        <w:rPr>
          <w:rFonts w:ascii="Arial;Helvetica;sans-serif" w:hAnsi="Arial;Helvetica;sans-serif"/>
          <w:sz w:val="20"/>
        </w:rPr>
        <w:t xml:space="preserve"> For a two-year period following the Date of Termination, each listed NEO, will receive the same or equivalent medical, dental, disability and group insurance benefits that he or she received at the Date of Termination.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To the extent that the benefits cannot be provided by law or plan provision, the Company will make a payment to the executive equal to the difference between the amounts that would have been paid under the programs and the amount paid, if any, by the executive.</w:t>
      </w:r>
    </w:p>
    <w:p>
      <w:pPr>
        <w:pStyle w:val="TextBody"/>
        <w:bidi w:val="0"/>
        <w:spacing w:before="240" w:after="120"/>
        <w:ind w:left="0" w:right="0" w:hanging="0"/>
        <w:jc w:val="left"/>
        <w:rPr>
          <w:rFonts w:ascii="Arial;Helvetica;sans-serif" w:hAnsi="Arial;Helvetica;sans-serif"/>
          <w:sz w:val="24"/>
        </w:rPr>
      </w:pPr>
      <w:r>
        <w:rPr>
          <w:rFonts w:ascii="Arial;Helvetica;sans-serif" w:hAnsi="Arial;Helvetica;sans-serif"/>
          <w:sz w:val="24"/>
        </w:rPr>
        <w:t xml:space="preserve">Termination Provisions Under Our Equity Compensation Plans and Programs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i/>
          <w:sz w:val="20"/>
        </w:rPr>
        <w:t>Equity-based and other cash-based long-term incentive awards.</w:t>
      </w:r>
      <w:r>
        <w:rPr>
          <w:rFonts w:ascii="Arial;Helvetica;sans-serif" w:hAnsi="Arial;Helvetica;sans-serif"/>
          <w:sz w:val="20"/>
        </w:rPr>
        <w:t xml:space="preserve"> The following provisions apply to previously granted and outstanding awards in the event of a Change in Control.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2020 Plan, and the 2024 Plan — For LTIP awards made under the 2020 Plan and the 2024 Plan, a “double-trigger” applies. Therefore, performance share awards made under the 2016 Plan, the 2020 Plan, and the 2024 Plan, and restricted shares, RSU and PSU awards made under both, that are held by an employee who is terminated will not automatically vest, nor will the restrictions lapse, unless a Change in Control occurs and the employee is involuntarily terminated by us or our successor (other than for Cause or voluntary termination by the employee other than for Good Reason.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 Change in Control will not impact any rights of any executive under the TPP or Kennametal Restoration Plan.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present value of accumulated benefit under the ERP for the participating NEOs and the aggregate balance under the Kennametal Restoration Plan for the participating NEOs are provided in the 2026 Pension Benefits Table and the 2026 Nonqualified Deferred Compensation Table, respectively, each set forth above.</w:t>
      </w:r>
    </w:p>
    <w:p>
      <w:pPr>
        <w:pStyle w:val="Normal"/>
        <w:bidi w:val="0"/>
        <w:spacing w:before="0" w:after="0"/>
        <w:ind w:left="0" w:right="0" w:hanging="0"/>
        <w:jc w:val="left"/>
        <w:rPr>
          <w:sz w:val="4"/>
          <w:szCs w:val="4"/>
        </w:rPr>
      </w:pPr>
      <w:r>
        <w:rPr>
          <w:sz w:val="4"/>
          <w:szCs w:val="4"/>
        </w:rPr>
      </w:r>
      <w:bookmarkStart w:id="65" w:name="_21ce35b1_4ac9_4051_a56c_872c2f3558c2"/>
      <w:bookmarkStart w:id="66" w:name="_33effd5c_9b9e_43ef_97b2_2edce465aeba"/>
      <w:bookmarkStart w:id="67" w:name="_2012cf43_d9d2_431b_a748_edef9287cb35"/>
      <w:bookmarkStart w:id="68" w:name="_41c21f10_fec5_41d6_a650_521f07b723b0"/>
      <w:bookmarkStart w:id="69" w:name="_12e7a3b2_c953_41a7_b57b_22fc59b39c1d"/>
      <w:bookmarkStart w:id="70" w:name="_d05f0fd0_2230_4649_8072_e30604e4027e"/>
      <w:bookmarkStart w:id="71" w:name="_21ce35b1_4ac9_4051_a56c_872c2f3558c2"/>
      <w:bookmarkStart w:id="72" w:name="_33effd5c_9b9e_43ef_97b2_2edce465aeba"/>
      <w:bookmarkStart w:id="73" w:name="_2012cf43_d9d2_431b_a748_edef9287cb35"/>
      <w:bookmarkStart w:id="74" w:name="_41c21f10_fec5_41d6_a650_521f07b723b0"/>
      <w:bookmarkStart w:id="75" w:name="_12e7a3b2_c953_41a7_b57b_22fc59b39c1d"/>
      <w:bookmarkStart w:id="76" w:name="_d05f0fd0_2230_4649_8072_e30604e4027e"/>
      <w:bookmarkEnd w:id="71"/>
      <w:bookmarkEnd w:id="72"/>
      <w:bookmarkEnd w:id="73"/>
      <w:bookmarkEnd w:id="74"/>
      <w:bookmarkEnd w:id="75"/>
      <w:bookmarkEnd w:id="76"/>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74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4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25" descr=""/>
                    <pic:cNvPicPr>
                      <a:picLocks noChangeAspect="1" noChangeArrowheads="1"/>
                    </pic:cNvPicPr>
                  </pic:nvPicPr>
                  <pic:blipFill>
                    <a:blip r:embed="rId126"/>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POTENTIAL PAYMENTS UPON TERMINATION OR CHANGE IN CONTROL</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tables detail the incremental payments and benefits (above those already disclosed in this Proxy Statement) to which the NEOs would have been entitled under each termination of employment and Change in Control scenario, assuming the triggering event occurred on June 30, 2026. On that date, the stock price was $35.05. The actual amounts that may be payable to any other NEO on a separation from the Company can only be determined at the time of the actual separation and may differ from the amounts set forth in the tables below based on various factors. Please also see the footnotes to the tables below for additional information.</w:t>
      </w:r>
    </w:p>
    <w:tbl>
      <w:tblPr>
        <w:tblW w:w="10205" w:type="dxa"/>
        <w:jc w:val="left"/>
        <w:tblInd w:w="0" w:type="dxa"/>
        <w:tblLayout w:type="fixed"/>
        <w:tblCellMar>
          <w:top w:w="0" w:type="dxa"/>
          <w:left w:w="0" w:type="dxa"/>
          <w:bottom w:w="0" w:type="dxa"/>
          <w:right w:w="0" w:type="dxa"/>
        </w:tblCellMar>
      </w:tblPr>
      <w:tblGrid>
        <w:gridCol w:w="1371"/>
        <w:gridCol w:w="226"/>
        <w:gridCol w:w="229"/>
        <w:gridCol w:w="1047"/>
        <w:gridCol w:w="226"/>
        <w:gridCol w:w="211"/>
        <w:gridCol w:w="1066"/>
        <w:gridCol w:w="226"/>
        <w:gridCol w:w="211"/>
        <w:gridCol w:w="1066"/>
        <w:gridCol w:w="226"/>
        <w:gridCol w:w="369"/>
        <w:gridCol w:w="607"/>
        <w:gridCol w:w="226"/>
        <w:gridCol w:w="223"/>
        <w:gridCol w:w="1128"/>
        <w:gridCol w:w="226"/>
        <w:gridCol w:w="419"/>
        <w:gridCol w:w="902"/>
      </w:tblGrid>
      <w:tr>
        <w:trPr/>
        <w:tc>
          <w:tcPr>
            <w:tcW w:w="13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left"/>
              <w:rPr/>
            </w:pPr>
            <w:r>
              <w:rPr/>
              <w:t>​</w:t>
            </w:r>
          </w:p>
        </w:tc>
      </w:tr>
      <w:tr>
        <w:trPr/>
        <w:tc>
          <w:tcPr>
            <w:tcW w:w="1371"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Sanjay Chowbey</w:t>
            </w:r>
          </w:p>
        </w:tc>
        <w:tc>
          <w:tcPr>
            <w:tcW w:w="226" w:type="dxa"/>
            <w:tcBorders/>
            <w:shd w:fill="E5E5E5" w:val="clear"/>
            <w:vAlign w:val="center"/>
          </w:tcPr>
          <w:p>
            <w:pPr>
              <w:pStyle w:val="TableContents"/>
              <w:bidi w:val="0"/>
              <w:spacing w:before="0" w:after="0"/>
              <w:ind w:left="0" w:right="0" w:hanging="0"/>
              <w:jc w:val="left"/>
              <w:rPr/>
            </w:pPr>
            <w:r>
              <w:rPr/>
              <w:t>​</w:t>
            </w:r>
          </w:p>
        </w:tc>
        <w:tc>
          <w:tcPr>
            <w:tcW w:w="5484" w:type="dxa"/>
            <w:gridSpan w:val="11"/>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Non-Change in Control</w:t>
            </w:r>
          </w:p>
        </w:tc>
        <w:tc>
          <w:tcPr>
            <w:tcW w:w="226" w:type="dxa"/>
            <w:tcBorders/>
            <w:shd w:fill="E5E5E5" w:val="clear"/>
            <w:vAlign w:val="center"/>
          </w:tcPr>
          <w:p>
            <w:pPr>
              <w:pStyle w:val="TableContents"/>
              <w:bidi w:val="0"/>
              <w:spacing w:before="0" w:after="0"/>
              <w:ind w:left="0" w:right="0" w:hanging="0"/>
              <w:jc w:val="left"/>
              <w:rPr/>
            </w:pPr>
            <w:r>
              <w:rPr/>
              <w:t>​</w:t>
            </w:r>
          </w:p>
        </w:tc>
        <w:tc>
          <w:tcPr>
            <w:tcW w:w="2898" w:type="dxa"/>
            <w:gridSpan w:val="5"/>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 in Control</w:t>
            </w:r>
          </w:p>
        </w:tc>
      </w:tr>
      <w:tr>
        <w:trPr/>
        <w:tc>
          <w:tcPr>
            <w:tcW w:w="137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29" w:type="dxa"/>
            <w:tcBorders/>
            <w:shd w:fill="E5E5E5" w:val="clear"/>
            <w:vAlign w:val="center"/>
          </w:tcPr>
          <w:p>
            <w:pPr>
              <w:pStyle w:val="TableContents"/>
              <w:bidi w:val="0"/>
              <w:spacing w:before="0" w:after="0"/>
              <w:ind w:left="0" w:right="0" w:hanging="0"/>
              <w:jc w:val="left"/>
              <w:rPr/>
            </w:pPr>
            <w:r>
              <w:rPr/>
              <w:t>​</w:t>
            </w:r>
          </w:p>
        </w:tc>
        <w:tc>
          <w:tcPr>
            <w:tcW w:w="104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37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29" w:type="dxa"/>
            <w:tcBorders/>
            <w:shd w:fill="E5E5E5" w:val="clear"/>
            <w:vAlign w:val="center"/>
          </w:tcPr>
          <w:p>
            <w:pPr>
              <w:pStyle w:val="TableContents"/>
              <w:bidi w:val="0"/>
              <w:spacing w:before="0" w:after="0"/>
              <w:ind w:left="0" w:right="0" w:hanging="0"/>
              <w:jc w:val="left"/>
              <w:rPr/>
            </w:pPr>
            <w:r>
              <w:rPr/>
              <w:t>​</w:t>
            </w:r>
          </w:p>
        </w:tc>
        <w:tc>
          <w:tcPr>
            <w:tcW w:w="104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37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29" w:type="dxa"/>
            <w:tcBorders/>
            <w:shd w:fill="E5E5E5" w:val="clear"/>
            <w:vAlign w:val="center"/>
          </w:tcPr>
          <w:p>
            <w:pPr>
              <w:pStyle w:val="TableContents"/>
              <w:bidi w:val="0"/>
              <w:spacing w:before="0" w:after="0"/>
              <w:ind w:left="0" w:right="0" w:hanging="0"/>
              <w:jc w:val="left"/>
              <w:rPr/>
            </w:pPr>
            <w:r>
              <w:rPr/>
              <w:t>​</w:t>
            </w:r>
          </w:p>
        </w:tc>
        <w:tc>
          <w:tcPr>
            <w:tcW w:w="104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37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Employment by</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37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Company or by</w:t>
            </w:r>
          </w:p>
        </w:tc>
        <w:tc>
          <w:tcPr>
            <w:tcW w:w="226" w:type="dxa"/>
            <w:tcBorders/>
            <w:shd w:fill="E5E5E5" w:val="clear"/>
            <w:vAlign w:val="center"/>
          </w:tcPr>
          <w:p>
            <w:pPr>
              <w:pStyle w:val="TableContents"/>
              <w:bidi w:val="0"/>
              <w:spacing w:before="0" w:after="0"/>
              <w:ind w:left="0" w:right="0" w:hanging="0"/>
              <w:jc w:val="left"/>
              <w:rPr/>
            </w:pPr>
            <w:r>
              <w:rPr/>
              <w:t>​</w:t>
            </w:r>
          </w:p>
        </w:tc>
        <w:tc>
          <w:tcPr>
            <w:tcW w:w="132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Without</w:t>
            </w:r>
          </w:p>
        </w:tc>
      </w:tr>
      <w:tr>
        <w:trPr/>
        <w:tc>
          <w:tcPr>
            <w:tcW w:w="1371"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Named Executive Officer</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106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Executive for</w:t>
            </w:r>
          </w:p>
        </w:tc>
        <w:tc>
          <w:tcPr>
            <w:tcW w:w="226" w:type="dxa"/>
            <w:tcBorders/>
            <w:shd w:fill="E5E5E5" w:val="clear"/>
            <w:vAlign w:val="center"/>
          </w:tcPr>
          <w:p>
            <w:pPr>
              <w:pStyle w:val="TableContents"/>
              <w:bidi w:val="0"/>
              <w:spacing w:before="0" w:after="0"/>
              <w:ind w:left="0" w:right="0" w:hanging="0"/>
              <w:jc w:val="left"/>
              <w:rPr/>
            </w:pPr>
            <w:r>
              <w:rPr/>
              <w:t>​</w:t>
            </w:r>
          </w:p>
        </w:tc>
        <w:tc>
          <w:tcPr>
            <w:tcW w:w="132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Termination of</w:t>
            </w:r>
          </w:p>
        </w:tc>
      </w:tr>
      <w:tr>
        <w:trPr/>
        <w:tc>
          <w:tcPr>
            <w:tcW w:w="1371"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Payments and Benefits</w:t>
            </w:r>
          </w:p>
        </w:tc>
        <w:tc>
          <w:tcPr>
            <w:tcW w:w="226" w:type="dxa"/>
            <w:tcBorders/>
            <w:shd w:fill="E5E5E5" w:val="clear"/>
            <w:vAlign w:val="center"/>
          </w:tcPr>
          <w:p>
            <w:pPr>
              <w:pStyle w:val="TableContents"/>
              <w:bidi w:val="0"/>
              <w:spacing w:before="0" w:after="0"/>
              <w:ind w:left="0" w:right="0" w:hanging="0"/>
              <w:jc w:val="left"/>
              <w:rPr/>
            </w:pPr>
            <w:r>
              <w:rPr/>
              <w:t>  ​</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Employment</w:t>
            </w:r>
          </w:p>
        </w:tc>
        <w:tc>
          <w:tcPr>
            <w:tcW w:w="226" w:type="dxa"/>
            <w:tcBorders/>
            <w:shd w:fill="E5E5E5" w:val="clear"/>
            <w:vAlign w:val="center"/>
          </w:tcPr>
          <w:p>
            <w:pPr>
              <w:pStyle w:val="TableContents"/>
              <w:bidi w:val="0"/>
              <w:spacing w:before="0" w:after="0"/>
              <w:ind w:left="0" w:right="0" w:hanging="0"/>
              <w:jc w:val="left"/>
              <w:rPr/>
            </w:pPr>
            <w:r>
              <w:rPr/>
              <w:t>  ​</w:t>
            </w:r>
          </w:p>
        </w:tc>
        <w:tc>
          <w:tcPr>
            <w:tcW w:w="127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Death</w:t>
            </w:r>
          </w:p>
        </w:tc>
        <w:tc>
          <w:tcPr>
            <w:tcW w:w="226" w:type="dxa"/>
            <w:tcBorders/>
            <w:shd w:fill="E5E5E5" w:val="clear"/>
            <w:vAlign w:val="center"/>
          </w:tcPr>
          <w:p>
            <w:pPr>
              <w:pStyle w:val="TableContents"/>
              <w:bidi w:val="0"/>
              <w:spacing w:before="0" w:after="0"/>
              <w:ind w:left="0" w:right="0" w:hanging="0"/>
              <w:jc w:val="left"/>
              <w:rPr/>
            </w:pPr>
            <w:r>
              <w:rPr/>
              <w:t>  ​</w:t>
            </w:r>
          </w:p>
        </w:tc>
        <w:tc>
          <w:tcPr>
            <w:tcW w:w="127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Disability</w:t>
            </w:r>
          </w:p>
        </w:tc>
        <w:tc>
          <w:tcPr>
            <w:tcW w:w="226" w:type="dxa"/>
            <w:tcBorders/>
            <w:shd w:fill="E5E5E5" w:val="clear"/>
            <w:vAlign w:val="center"/>
          </w:tcPr>
          <w:p>
            <w:pPr>
              <w:pStyle w:val="TableContents"/>
              <w:bidi w:val="0"/>
              <w:spacing w:before="0" w:after="0"/>
              <w:ind w:left="0" w:right="0" w:hanging="0"/>
              <w:jc w:val="left"/>
              <w:rPr/>
            </w:pPr>
            <w:r>
              <w:rPr/>
              <w:t>  ​</w:t>
            </w:r>
          </w:p>
        </w:tc>
        <w:tc>
          <w:tcPr>
            <w:tcW w:w="9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Retirement</w:t>
            </w:r>
          </w:p>
        </w:tc>
        <w:tc>
          <w:tcPr>
            <w:tcW w:w="226" w:type="dxa"/>
            <w:tcBorders/>
            <w:shd w:fill="E5E5E5" w:val="clear"/>
            <w:vAlign w:val="center"/>
          </w:tcPr>
          <w:p>
            <w:pPr>
              <w:pStyle w:val="TableContents"/>
              <w:bidi w:val="0"/>
              <w:spacing w:before="0" w:after="0"/>
              <w:ind w:left="0" w:right="0" w:hanging="0"/>
              <w:jc w:val="left"/>
              <w:rPr/>
            </w:pPr>
            <w:r>
              <w:rPr/>
              <w:t>  ​</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Good Reason</w:t>
            </w:r>
          </w:p>
        </w:tc>
        <w:tc>
          <w:tcPr>
            <w:tcW w:w="226" w:type="dxa"/>
            <w:tcBorders/>
            <w:shd w:fill="E5E5E5" w:val="clear"/>
            <w:vAlign w:val="center"/>
          </w:tcPr>
          <w:p>
            <w:pPr>
              <w:pStyle w:val="TableContents"/>
              <w:bidi w:val="0"/>
              <w:spacing w:before="0" w:after="0"/>
              <w:ind w:left="0" w:right="0" w:hanging="0"/>
              <w:jc w:val="left"/>
              <w:rPr/>
            </w:pPr>
            <w:r>
              <w:rPr/>
              <w:t>  ​</w:t>
            </w:r>
          </w:p>
        </w:tc>
        <w:tc>
          <w:tcPr>
            <w:tcW w:w="132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Employment</w:t>
            </w:r>
          </w:p>
        </w:tc>
      </w:tr>
      <w:tr>
        <w:trPr/>
        <w:tc>
          <w:tcPr>
            <w:tcW w:w="13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Severance (1)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1,882,376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8"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3,952,990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3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Units (Unvested) (2)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4,954,808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4,954,808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8"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4,954,808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37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Performance Units (Unvested) (2)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8,491,095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8,491,095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8"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8,491,095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3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Health &amp; Welfare Benefits Continuation (3)</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2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36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23"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2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34,264</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41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pPr>
            <w:r>
              <w:rPr/>
              <w:t>—</w:t>
            </w:r>
          </w:p>
        </w:tc>
      </w:tr>
      <w:tr>
        <w:trPr/>
        <w:tc>
          <w:tcPr>
            <w:tcW w:w="137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Totals</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2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4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1,882,376</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6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13,445,903</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11"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6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13,445,903</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36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607"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pPr>
            <w:r>
              <w:rPr/>
              <w:t>—</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223"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128"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17,433,157</w:t>
            </w:r>
          </w:p>
        </w:tc>
        <w:tc>
          <w:tcPr>
            <w:tcW w:w="226"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pPr>
            <w:r>
              <w:rPr/>
              <w:t>​</w:t>
            </w:r>
          </w:p>
        </w:tc>
        <w:tc>
          <w:tcPr>
            <w:tcW w:w="419"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02" w:type="dxa"/>
            <w:tcBorders>
              <w:top w:val="single" w:sz="2" w:space="0" w:color="7F7F7F"/>
              <w:bottom w:val="single" w:sz="2" w:space="0" w:color="7F7F7F"/>
            </w:tcBorders>
            <w:tcMar>
              <w:top w:w="28" w:type="dxa"/>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81"/>
        <w:gridCol w:w="226"/>
        <w:gridCol w:w="267"/>
        <w:gridCol w:w="1009"/>
        <w:gridCol w:w="226"/>
        <w:gridCol w:w="211"/>
        <w:gridCol w:w="961"/>
        <w:gridCol w:w="226"/>
        <w:gridCol w:w="211"/>
        <w:gridCol w:w="961"/>
        <w:gridCol w:w="226"/>
        <w:gridCol w:w="369"/>
        <w:gridCol w:w="607"/>
        <w:gridCol w:w="226"/>
        <w:gridCol w:w="242"/>
        <w:gridCol w:w="1109"/>
        <w:gridCol w:w="226"/>
        <w:gridCol w:w="419"/>
        <w:gridCol w:w="902"/>
      </w:tblGrid>
      <w:tr>
        <w:trPr/>
        <w:tc>
          <w:tcPr>
            <w:tcW w:w="15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left"/>
              <w:rPr/>
            </w:pPr>
            <w:r>
              <w:rPr/>
              <w:t>​</w:t>
            </w:r>
          </w:p>
        </w:tc>
      </w:tr>
      <w:tr>
        <w:trPr/>
        <w:tc>
          <w:tcPr>
            <w:tcW w:w="1581"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Patrick Watson</w:t>
            </w:r>
          </w:p>
        </w:tc>
        <w:tc>
          <w:tcPr>
            <w:tcW w:w="226" w:type="dxa"/>
            <w:tcBorders/>
            <w:shd w:fill="E5E5E5" w:val="clear"/>
            <w:vAlign w:val="center"/>
          </w:tcPr>
          <w:p>
            <w:pPr>
              <w:pStyle w:val="TableContents"/>
              <w:bidi w:val="0"/>
              <w:spacing w:before="0" w:after="0"/>
              <w:ind w:left="0" w:right="0" w:hanging="0"/>
              <w:jc w:val="left"/>
              <w:rPr/>
            </w:pPr>
            <w:r>
              <w:rPr/>
              <w:t>​</w:t>
            </w:r>
          </w:p>
        </w:tc>
        <w:tc>
          <w:tcPr>
            <w:tcW w:w="5274" w:type="dxa"/>
            <w:gridSpan w:val="11"/>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Non-Change in Control</w:t>
            </w:r>
          </w:p>
        </w:tc>
        <w:tc>
          <w:tcPr>
            <w:tcW w:w="226" w:type="dxa"/>
            <w:tcBorders/>
            <w:shd w:fill="E5E5E5" w:val="clear"/>
            <w:vAlign w:val="center"/>
          </w:tcPr>
          <w:p>
            <w:pPr>
              <w:pStyle w:val="TableContents"/>
              <w:bidi w:val="0"/>
              <w:spacing w:before="0" w:after="0"/>
              <w:ind w:left="0" w:right="0" w:hanging="0"/>
              <w:jc w:val="left"/>
              <w:rPr/>
            </w:pPr>
            <w:r>
              <w:rPr/>
              <w:t>​</w:t>
            </w:r>
          </w:p>
        </w:tc>
        <w:tc>
          <w:tcPr>
            <w:tcW w:w="2898" w:type="dxa"/>
            <w:gridSpan w:val="5"/>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Change in Control</w:t>
            </w:r>
          </w:p>
        </w:tc>
      </w:tr>
      <w:tr>
        <w:trPr/>
        <w:tc>
          <w:tcPr>
            <w:tcW w:w="158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67" w:type="dxa"/>
            <w:tcBorders/>
            <w:shd w:fill="E5E5E5" w:val="clear"/>
            <w:vAlign w:val="center"/>
          </w:tcPr>
          <w:p>
            <w:pPr>
              <w:pStyle w:val="TableContents"/>
              <w:bidi w:val="0"/>
              <w:spacing w:before="0" w:after="0"/>
              <w:ind w:left="0" w:right="0" w:hanging="0"/>
              <w:jc w:val="left"/>
              <w:rPr/>
            </w:pPr>
            <w:r>
              <w:rPr/>
              <w:t>​</w:t>
            </w:r>
          </w:p>
        </w:tc>
        <w:tc>
          <w:tcPr>
            <w:tcW w:w="1009"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58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67" w:type="dxa"/>
            <w:tcBorders/>
            <w:shd w:fill="E5E5E5" w:val="clear"/>
            <w:vAlign w:val="center"/>
          </w:tcPr>
          <w:p>
            <w:pPr>
              <w:pStyle w:val="TableContents"/>
              <w:bidi w:val="0"/>
              <w:spacing w:before="0" w:after="0"/>
              <w:ind w:left="0" w:right="0" w:hanging="0"/>
              <w:jc w:val="left"/>
              <w:rPr/>
            </w:pPr>
            <w:r>
              <w:rPr/>
              <w:t>​</w:t>
            </w:r>
          </w:p>
        </w:tc>
        <w:tc>
          <w:tcPr>
            <w:tcW w:w="1009"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58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67" w:type="dxa"/>
            <w:tcBorders/>
            <w:shd w:fill="E5E5E5" w:val="clear"/>
            <w:vAlign w:val="center"/>
          </w:tcPr>
          <w:p>
            <w:pPr>
              <w:pStyle w:val="TableContents"/>
              <w:bidi w:val="0"/>
              <w:spacing w:before="0" w:after="0"/>
              <w:ind w:left="0" w:right="0" w:hanging="0"/>
              <w:jc w:val="left"/>
              <w:rPr/>
            </w:pPr>
            <w:r>
              <w:rPr/>
              <w:t>​</w:t>
            </w:r>
          </w:p>
        </w:tc>
        <w:tc>
          <w:tcPr>
            <w:tcW w:w="1009"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58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Employment by</w:t>
            </w:r>
          </w:p>
        </w:tc>
        <w:tc>
          <w:tcPr>
            <w:tcW w:w="226" w:type="dxa"/>
            <w:tcBorders/>
            <w:shd w:fill="E5E5E5" w:val="clear"/>
            <w:vAlign w:val="center"/>
          </w:tcPr>
          <w:p>
            <w:pPr>
              <w:pStyle w:val="TableContents"/>
              <w:bidi w:val="0"/>
              <w:spacing w:before="0" w:after="0"/>
              <w:ind w:left="0" w:right="0" w:hanging="0"/>
              <w:jc w:val="left"/>
              <w:rPr/>
            </w:pPr>
            <w:r>
              <w:rPr/>
              <w:t>​</w:t>
            </w:r>
          </w:p>
        </w:tc>
        <w:tc>
          <w:tcPr>
            <w:tcW w:w="419" w:type="dxa"/>
            <w:tcBorders/>
            <w:shd w:fill="E5E5E5" w:val="clear"/>
            <w:vAlign w:val="center"/>
          </w:tcPr>
          <w:p>
            <w:pPr>
              <w:pStyle w:val="TableContents"/>
              <w:bidi w:val="0"/>
              <w:spacing w:before="0" w:after="0"/>
              <w:ind w:left="0" w:right="0" w:hanging="0"/>
              <w:jc w:val="left"/>
              <w:rPr/>
            </w:pPr>
            <w:r>
              <w:rPr/>
              <w:t>​</w:t>
            </w:r>
          </w:p>
        </w:tc>
        <w:tc>
          <w:tcPr>
            <w:tcW w:w="902" w:type="dxa"/>
            <w:tcBorders/>
            <w:shd w:fill="E5E5E5" w:val="clear"/>
            <w:vAlign w:val="center"/>
          </w:tcPr>
          <w:p>
            <w:pPr>
              <w:pStyle w:val="TableContents"/>
              <w:bidi w:val="0"/>
              <w:spacing w:before="0" w:after="0"/>
              <w:ind w:left="0" w:right="0" w:hanging="0"/>
              <w:jc w:val="center"/>
              <w:rPr/>
            </w:pPr>
            <w:r>
              <w:rPr/>
              <w:t>​</w:t>
            </w:r>
          </w:p>
        </w:tc>
      </w:tr>
      <w:tr>
        <w:trPr/>
        <w:tc>
          <w:tcPr>
            <w:tcW w:w="158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Company or by</w:t>
            </w:r>
          </w:p>
        </w:tc>
        <w:tc>
          <w:tcPr>
            <w:tcW w:w="226" w:type="dxa"/>
            <w:tcBorders/>
            <w:shd w:fill="E5E5E5" w:val="clear"/>
            <w:vAlign w:val="center"/>
          </w:tcPr>
          <w:p>
            <w:pPr>
              <w:pStyle w:val="TableContents"/>
              <w:bidi w:val="0"/>
              <w:spacing w:before="0" w:after="0"/>
              <w:ind w:left="0" w:right="0" w:hanging="0"/>
              <w:jc w:val="left"/>
              <w:rPr/>
            </w:pPr>
            <w:r>
              <w:rPr/>
              <w:t>​</w:t>
            </w:r>
          </w:p>
        </w:tc>
        <w:tc>
          <w:tcPr>
            <w:tcW w:w="132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Without</w:t>
            </w:r>
          </w:p>
        </w:tc>
      </w:tr>
      <w:tr>
        <w:trPr/>
        <w:tc>
          <w:tcPr>
            <w:tcW w:w="1581"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Named Executive Officer</w:t>
            </w:r>
          </w:p>
        </w:tc>
        <w:tc>
          <w:tcPr>
            <w:tcW w:w="226" w:type="dxa"/>
            <w:tcBorders/>
            <w:shd w:fill="E5E5E5" w:val="clear"/>
            <w:vAlign w:val="center"/>
          </w:tcPr>
          <w:p>
            <w:pPr>
              <w:pStyle w:val="TableContents"/>
              <w:bidi w:val="0"/>
              <w:spacing w:before="0" w:after="0"/>
              <w:ind w:left="0" w:right="0" w:hanging="0"/>
              <w:jc w:val="left"/>
              <w:rPr/>
            </w:pPr>
            <w:r>
              <w:rPr/>
              <w:t>​</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1" w:type="dxa"/>
            <w:tcBorders/>
            <w:shd w:fill="E5E5E5" w:val="clear"/>
            <w:vAlign w:val="center"/>
          </w:tcPr>
          <w:p>
            <w:pPr>
              <w:pStyle w:val="TableContents"/>
              <w:bidi w:val="0"/>
              <w:spacing w:before="0" w:after="0"/>
              <w:ind w:left="0" w:right="0" w:hanging="0"/>
              <w:jc w:val="left"/>
              <w:rPr/>
            </w:pPr>
            <w:r>
              <w:rPr/>
              <w:t>​</w:t>
            </w:r>
          </w:p>
        </w:tc>
        <w:tc>
          <w:tcPr>
            <w:tcW w:w="96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369" w:type="dxa"/>
            <w:tcBorders/>
            <w:shd w:fill="E5E5E5" w:val="clear"/>
            <w:vAlign w:val="center"/>
          </w:tcPr>
          <w:p>
            <w:pPr>
              <w:pStyle w:val="TableContents"/>
              <w:bidi w:val="0"/>
              <w:spacing w:before="0" w:after="0"/>
              <w:ind w:left="0" w:right="0" w:hanging="0"/>
              <w:jc w:val="left"/>
              <w:rPr/>
            </w:pPr>
            <w:r>
              <w:rPr/>
              <w:t>​</w:t>
            </w:r>
          </w:p>
        </w:tc>
        <w:tc>
          <w:tcPr>
            <w:tcW w:w="607"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Executive for</w:t>
            </w:r>
          </w:p>
        </w:tc>
        <w:tc>
          <w:tcPr>
            <w:tcW w:w="226" w:type="dxa"/>
            <w:tcBorders/>
            <w:shd w:fill="E5E5E5" w:val="clear"/>
            <w:vAlign w:val="center"/>
          </w:tcPr>
          <w:p>
            <w:pPr>
              <w:pStyle w:val="TableContents"/>
              <w:bidi w:val="0"/>
              <w:spacing w:before="0" w:after="0"/>
              <w:ind w:left="0" w:right="0" w:hanging="0"/>
              <w:jc w:val="left"/>
              <w:rPr/>
            </w:pPr>
            <w:r>
              <w:rPr/>
              <w:t>​</w:t>
            </w:r>
          </w:p>
        </w:tc>
        <w:tc>
          <w:tcPr>
            <w:tcW w:w="132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Termination of</w:t>
            </w:r>
          </w:p>
        </w:tc>
      </w:tr>
      <w:tr>
        <w:trPr/>
        <w:tc>
          <w:tcPr>
            <w:tcW w:w="1581"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Payments and Benefits</w:t>
            </w:r>
          </w:p>
        </w:tc>
        <w:tc>
          <w:tcPr>
            <w:tcW w:w="226" w:type="dxa"/>
            <w:tcBorders/>
            <w:shd w:fill="E5E5E5" w:val="clear"/>
            <w:vAlign w:val="center"/>
          </w:tcPr>
          <w:p>
            <w:pPr>
              <w:pStyle w:val="TableContents"/>
              <w:bidi w:val="0"/>
              <w:spacing w:before="0" w:after="0"/>
              <w:ind w:left="0" w:right="0" w:hanging="0"/>
              <w:jc w:val="left"/>
              <w:rPr/>
            </w:pPr>
            <w:r>
              <w:rPr/>
              <w:t>  ​</w:t>
            </w:r>
          </w:p>
        </w:tc>
        <w:tc>
          <w:tcPr>
            <w:tcW w:w="12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Employment</w:t>
            </w:r>
          </w:p>
        </w:tc>
        <w:tc>
          <w:tcPr>
            <w:tcW w:w="226" w:type="dxa"/>
            <w:tcBorders/>
            <w:shd w:fill="E5E5E5" w:val="clear"/>
            <w:vAlign w:val="center"/>
          </w:tcPr>
          <w:p>
            <w:pPr>
              <w:pStyle w:val="TableContents"/>
              <w:bidi w:val="0"/>
              <w:spacing w:before="0" w:after="0"/>
              <w:ind w:left="0" w:right="0" w:hanging="0"/>
              <w:jc w:val="left"/>
              <w:rPr/>
            </w:pPr>
            <w:r>
              <w:rPr/>
              <w:t>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Death</w:t>
            </w:r>
          </w:p>
        </w:tc>
        <w:tc>
          <w:tcPr>
            <w:tcW w:w="226" w:type="dxa"/>
            <w:tcBorders/>
            <w:shd w:fill="E5E5E5" w:val="clear"/>
            <w:vAlign w:val="center"/>
          </w:tcPr>
          <w:p>
            <w:pPr>
              <w:pStyle w:val="TableContents"/>
              <w:bidi w:val="0"/>
              <w:spacing w:before="0" w:after="0"/>
              <w:ind w:left="0" w:right="0" w:hanging="0"/>
              <w:jc w:val="left"/>
              <w:rPr/>
            </w:pPr>
            <w:r>
              <w:rPr/>
              <w:t>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Disability</w:t>
            </w:r>
          </w:p>
        </w:tc>
        <w:tc>
          <w:tcPr>
            <w:tcW w:w="226" w:type="dxa"/>
            <w:tcBorders/>
            <w:shd w:fill="E5E5E5" w:val="clear"/>
            <w:vAlign w:val="center"/>
          </w:tcPr>
          <w:p>
            <w:pPr>
              <w:pStyle w:val="TableContents"/>
              <w:bidi w:val="0"/>
              <w:spacing w:before="0" w:after="0"/>
              <w:ind w:left="0" w:right="0" w:hanging="0"/>
              <w:jc w:val="left"/>
              <w:rPr/>
            </w:pPr>
            <w:r>
              <w:rPr/>
              <w:t>  ​</w:t>
            </w:r>
          </w:p>
        </w:tc>
        <w:tc>
          <w:tcPr>
            <w:tcW w:w="97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Retirement</w:t>
            </w:r>
          </w:p>
        </w:tc>
        <w:tc>
          <w:tcPr>
            <w:tcW w:w="226" w:type="dxa"/>
            <w:tcBorders/>
            <w:shd w:fill="E5E5E5" w:val="clear"/>
            <w:vAlign w:val="center"/>
          </w:tcPr>
          <w:p>
            <w:pPr>
              <w:pStyle w:val="TableContents"/>
              <w:bidi w:val="0"/>
              <w:spacing w:before="0" w:after="0"/>
              <w:ind w:left="0" w:right="0" w:hanging="0"/>
              <w:jc w:val="left"/>
              <w:rPr/>
            </w:pPr>
            <w:r>
              <w:rPr/>
              <w:t>  ​</w:t>
            </w:r>
          </w:p>
        </w:tc>
        <w:tc>
          <w:tcPr>
            <w:tcW w:w="135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Good Reason</w:t>
            </w:r>
          </w:p>
        </w:tc>
        <w:tc>
          <w:tcPr>
            <w:tcW w:w="226" w:type="dxa"/>
            <w:tcBorders/>
            <w:shd w:fill="E5E5E5" w:val="clear"/>
            <w:vAlign w:val="center"/>
          </w:tcPr>
          <w:p>
            <w:pPr>
              <w:pStyle w:val="TableContents"/>
              <w:bidi w:val="0"/>
              <w:spacing w:before="0" w:after="0"/>
              <w:ind w:left="0" w:right="0" w:hanging="0"/>
              <w:jc w:val="left"/>
              <w:rPr/>
            </w:pPr>
            <w:r>
              <w:rPr/>
              <w:t>  ​</w:t>
            </w:r>
          </w:p>
        </w:tc>
        <w:tc>
          <w:tcPr>
            <w:tcW w:w="132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Employment</w:t>
            </w:r>
          </w:p>
        </w:tc>
      </w:tr>
      <w:tr>
        <w:trPr/>
        <w:tc>
          <w:tcPr>
            <w:tcW w:w="158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Severance (1)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540,750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1,892,625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Units (Unvested) (2)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1,724,670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1,724,670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1,724,670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Performance Units (Unvested) (2)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2,001,617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2,001,617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2,001,617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5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w:t>
            </w:r>
          </w:p>
        </w:tc>
      </w:tr>
      <w:tr>
        <w:trPr/>
        <w:tc>
          <w:tcPr>
            <w:tcW w:w="15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Health &amp; Welfare Benefits Continuation (3)</w:t>
            </w:r>
          </w:p>
        </w:tc>
        <w:tc>
          <w:tcPr>
            <w:tcW w:w="2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34,903</w:t>
            </w:r>
          </w:p>
        </w:tc>
        <w:tc>
          <w:tcPr>
            <w:tcW w:w="22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vAlign w:val="center"/>
          </w:tcPr>
          <w:p>
            <w:pPr>
              <w:pStyle w:val="TableContents"/>
              <w:bidi w:val="0"/>
              <w:spacing w:before="0" w:after="0"/>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0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540,750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3,726,287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3,726,287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10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5,653,815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02" w:type="dxa"/>
            <w:tcBorders>
              <w:bottom w:val="single" w:sz="2" w:space="0" w:color="7F7F7F"/>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75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4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26" descr=""/>
                    <pic:cNvPicPr>
                      <a:picLocks noChangeAspect="1" noChangeArrowheads="1"/>
                    </pic:cNvPicPr>
                  </pic:nvPicPr>
                  <pic:blipFill>
                    <a:blip r:embed="rId127"/>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POTENTIAL PAYMENTS UPON TERMINATION OR CHANGE IN CONTROL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81"/>
        <w:gridCol w:w="226"/>
        <w:gridCol w:w="267"/>
        <w:gridCol w:w="1009"/>
        <w:gridCol w:w="226"/>
        <w:gridCol w:w="211"/>
        <w:gridCol w:w="961"/>
        <w:gridCol w:w="226"/>
        <w:gridCol w:w="211"/>
        <w:gridCol w:w="961"/>
        <w:gridCol w:w="226"/>
        <w:gridCol w:w="369"/>
        <w:gridCol w:w="607"/>
        <w:gridCol w:w="226"/>
        <w:gridCol w:w="242"/>
        <w:gridCol w:w="1109"/>
        <w:gridCol w:w="226"/>
        <w:gridCol w:w="419"/>
        <w:gridCol w:w="902"/>
      </w:tblGrid>
      <w:tr>
        <w:trPr/>
        <w:tc>
          <w:tcPr>
            <w:tcW w:w="15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left"/>
              <w:rPr/>
            </w:pPr>
            <w:r>
              <w:rPr/>
              <w:t>​</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Dave Bersaglini</w:t>
            </w:r>
          </w:p>
        </w:tc>
        <w:tc>
          <w:tcPr>
            <w:tcW w:w="226" w:type="dxa"/>
            <w:tcBorders/>
            <w:shd w:fill="E5E5E5" w:val="clear"/>
            <w:vAlign w:val="center"/>
          </w:tcPr>
          <w:p>
            <w:pPr>
              <w:pStyle w:val="TableContents"/>
              <w:bidi w:val="0"/>
              <w:spacing w:before="0" w:after="1"/>
              <w:ind w:left="0" w:right="0" w:hanging="0"/>
              <w:jc w:val="left"/>
              <w:rPr/>
            </w:pPr>
            <w:r>
              <w:rPr/>
              <w:t>​</w:t>
            </w:r>
          </w:p>
        </w:tc>
        <w:tc>
          <w:tcPr>
            <w:tcW w:w="5274" w:type="dxa"/>
            <w:gridSpan w:val="11"/>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Non-Change in Control</w:t>
            </w:r>
          </w:p>
        </w:tc>
        <w:tc>
          <w:tcPr>
            <w:tcW w:w="226" w:type="dxa"/>
            <w:tcBorders/>
            <w:shd w:fill="E5E5E5" w:val="clear"/>
            <w:vAlign w:val="center"/>
          </w:tcPr>
          <w:p>
            <w:pPr>
              <w:pStyle w:val="TableContents"/>
              <w:bidi w:val="0"/>
              <w:spacing w:before="0" w:after="1"/>
              <w:ind w:left="0" w:right="0" w:hanging="0"/>
              <w:jc w:val="left"/>
              <w:rPr/>
            </w:pPr>
            <w:r>
              <w:rPr/>
              <w:t>​</w:t>
            </w:r>
          </w:p>
        </w:tc>
        <w:tc>
          <w:tcPr>
            <w:tcW w:w="2898" w:type="dxa"/>
            <w:gridSpan w:val="5"/>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 in Control</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 by</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Company or by</w:t>
            </w:r>
          </w:p>
        </w:tc>
        <w:tc>
          <w:tcPr>
            <w:tcW w:w="226" w:type="dxa"/>
            <w:tcBorders/>
            <w:shd w:fill="E5E5E5" w:val="clear"/>
            <w:vAlign w:val="center"/>
          </w:tcPr>
          <w:p>
            <w:pPr>
              <w:pStyle w:val="TableContents"/>
              <w:bidi w:val="0"/>
              <w:spacing w:before="0" w:after="1"/>
              <w:ind w:left="0" w:right="0" w:hanging="0"/>
              <w:jc w:val="left"/>
              <w:rPr/>
            </w:pPr>
            <w:r>
              <w:rPr/>
              <w:t>​</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Without</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Named Executive Officer</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Executive for</w:t>
            </w:r>
          </w:p>
        </w:tc>
        <w:tc>
          <w:tcPr>
            <w:tcW w:w="226" w:type="dxa"/>
            <w:tcBorders/>
            <w:shd w:fill="E5E5E5" w:val="clear"/>
            <w:vAlign w:val="center"/>
          </w:tcPr>
          <w:p>
            <w:pPr>
              <w:pStyle w:val="TableContents"/>
              <w:bidi w:val="0"/>
              <w:spacing w:before="0" w:after="1"/>
              <w:ind w:left="0" w:right="0" w:hanging="0"/>
              <w:jc w:val="left"/>
              <w:rPr/>
            </w:pPr>
            <w:r>
              <w:rPr/>
              <w:t>​</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Payments and Benefits</w:t>
            </w:r>
          </w:p>
        </w:tc>
        <w:tc>
          <w:tcPr>
            <w:tcW w:w="226" w:type="dxa"/>
            <w:tcBorders/>
            <w:shd w:fill="E5E5E5" w:val="clear"/>
            <w:vAlign w:val="center"/>
          </w:tcPr>
          <w:p>
            <w:pPr>
              <w:pStyle w:val="TableContents"/>
              <w:bidi w:val="0"/>
              <w:spacing w:before="0" w:after="1"/>
              <w:ind w:left="0" w:right="0" w:hanging="0"/>
              <w:jc w:val="left"/>
              <w:rPr/>
            </w:pPr>
            <w:r>
              <w:rPr/>
              <w:t>  ​</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w:t>
            </w:r>
          </w:p>
        </w:tc>
        <w:tc>
          <w:tcPr>
            <w:tcW w:w="226" w:type="dxa"/>
            <w:tcBorders/>
            <w:shd w:fill="E5E5E5" w:val="clear"/>
            <w:vAlign w:val="center"/>
          </w:tcPr>
          <w:p>
            <w:pPr>
              <w:pStyle w:val="TableContents"/>
              <w:bidi w:val="0"/>
              <w:spacing w:before="0" w:after="1"/>
              <w:ind w:left="0" w:right="0" w:hanging="0"/>
              <w:jc w:val="left"/>
              <w:rPr/>
            </w:pPr>
            <w:r>
              <w:rPr/>
              <w:t>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Death</w:t>
            </w:r>
          </w:p>
        </w:tc>
        <w:tc>
          <w:tcPr>
            <w:tcW w:w="226" w:type="dxa"/>
            <w:tcBorders/>
            <w:shd w:fill="E5E5E5" w:val="clear"/>
            <w:vAlign w:val="center"/>
          </w:tcPr>
          <w:p>
            <w:pPr>
              <w:pStyle w:val="TableContents"/>
              <w:bidi w:val="0"/>
              <w:spacing w:before="0" w:after="1"/>
              <w:ind w:left="0" w:right="0" w:hanging="0"/>
              <w:jc w:val="left"/>
              <w:rPr/>
            </w:pPr>
            <w:r>
              <w:rPr/>
              <w:t>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Disability</w:t>
            </w:r>
          </w:p>
        </w:tc>
        <w:tc>
          <w:tcPr>
            <w:tcW w:w="226" w:type="dxa"/>
            <w:tcBorders/>
            <w:shd w:fill="E5E5E5" w:val="clear"/>
            <w:vAlign w:val="center"/>
          </w:tcPr>
          <w:p>
            <w:pPr>
              <w:pStyle w:val="TableContents"/>
              <w:bidi w:val="0"/>
              <w:spacing w:before="0" w:after="1"/>
              <w:ind w:left="0" w:right="0" w:hanging="0"/>
              <w:jc w:val="left"/>
              <w:rPr/>
            </w:pPr>
            <w:r>
              <w:rPr/>
              <w:t>  ​</w:t>
            </w:r>
          </w:p>
        </w:tc>
        <w:tc>
          <w:tcPr>
            <w:tcW w:w="9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Retirement</w:t>
            </w:r>
          </w:p>
        </w:tc>
        <w:tc>
          <w:tcPr>
            <w:tcW w:w="226" w:type="dxa"/>
            <w:tcBorders/>
            <w:shd w:fill="E5E5E5" w:val="clear"/>
            <w:vAlign w:val="center"/>
          </w:tcPr>
          <w:p>
            <w:pPr>
              <w:pStyle w:val="TableContents"/>
              <w:bidi w:val="0"/>
              <w:spacing w:before="0" w:after="1"/>
              <w:ind w:left="0" w:right="0" w:hanging="0"/>
              <w:jc w:val="left"/>
              <w:rPr/>
            </w:pPr>
            <w:r>
              <w:rPr/>
              <w:t>  ​</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Good Reason</w:t>
            </w:r>
          </w:p>
        </w:tc>
        <w:tc>
          <w:tcPr>
            <w:tcW w:w="226" w:type="dxa"/>
            <w:tcBorders/>
            <w:shd w:fill="E5E5E5" w:val="clear"/>
            <w:vAlign w:val="center"/>
          </w:tcPr>
          <w:p>
            <w:pPr>
              <w:pStyle w:val="TableContents"/>
              <w:bidi w:val="0"/>
              <w:spacing w:before="0" w:after="1"/>
              <w:ind w:left="0" w:right="0" w:hanging="0"/>
              <w:jc w:val="left"/>
              <w:rPr/>
            </w:pPr>
            <w:r>
              <w:rPr/>
              <w:t>  ​</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Severance (1)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533,000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1,865,500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Units (Unvested) (2)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1,891,298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1,891,298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1,891,298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Performance Units (Unvested) (2)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1,463,437</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1,463,437</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1,463,437</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w:t>
            </w:r>
          </w:p>
        </w:tc>
      </w:tr>
      <w:tr>
        <w:trPr/>
        <w:tc>
          <w:tcPr>
            <w:tcW w:w="1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Health &amp; Welfare Benefits Continuation (3)</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61,988</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533,000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3,354,735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3,354,735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5,282,223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81"/>
        <w:gridCol w:w="226"/>
        <w:gridCol w:w="267"/>
        <w:gridCol w:w="1009"/>
        <w:gridCol w:w="226"/>
        <w:gridCol w:w="211"/>
        <w:gridCol w:w="961"/>
        <w:gridCol w:w="226"/>
        <w:gridCol w:w="211"/>
        <w:gridCol w:w="961"/>
        <w:gridCol w:w="226"/>
        <w:gridCol w:w="369"/>
        <w:gridCol w:w="607"/>
        <w:gridCol w:w="226"/>
        <w:gridCol w:w="242"/>
        <w:gridCol w:w="1109"/>
        <w:gridCol w:w="226"/>
        <w:gridCol w:w="419"/>
        <w:gridCol w:w="902"/>
      </w:tblGrid>
      <w:tr>
        <w:trPr/>
        <w:tc>
          <w:tcPr>
            <w:tcW w:w="15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left"/>
              <w:rPr/>
            </w:pPr>
            <w:r>
              <w:rPr/>
              <w:t>​</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Faisal Hamadi</w:t>
            </w:r>
          </w:p>
        </w:tc>
        <w:tc>
          <w:tcPr>
            <w:tcW w:w="226" w:type="dxa"/>
            <w:tcBorders/>
            <w:shd w:fill="E5E5E5" w:val="clear"/>
            <w:vAlign w:val="center"/>
          </w:tcPr>
          <w:p>
            <w:pPr>
              <w:pStyle w:val="TableContents"/>
              <w:bidi w:val="0"/>
              <w:spacing w:before="0" w:after="1"/>
              <w:ind w:left="0" w:right="0" w:hanging="0"/>
              <w:jc w:val="left"/>
              <w:rPr/>
            </w:pPr>
            <w:r>
              <w:rPr/>
              <w:t>​</w:t>
            </w:r>
          </w:p>
        </w:tc>
        <w:tc>
          <w:tcPr>
            <w:tcW w:w="5274" w:type="dxa"/>
            <w:gridSpan w:val="11"/>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Non-Change in Control</w:t>
            </w:r>
          </w:p>
        </w:tc>
        <w:tc>
          <w:tcPr>
            <w:tcW w:w="226" w:type="dxa"/>
            <w:tcBorders/>
            <w:shd w:fill="E5E5E5" w:val="clear"/>
            <w:vAlign w:val="center"/>
          </w:tcPr>
          <w:p>
            <w:pPr>
              <w:pStyle w:val="TableContents"/>
              <w:bidi w:val="0"/>
              <w:spacing w:before="0" w:after="1"/>
              <w:ind w:left="0" w:right="0" w:hanging="0"/>
              <w:jc w:val="left"/>
              <w:rPr/>
            </w:pPr>
            <w:r>
              <w:rPr/>
              <w:t>​</w:t>
            </w:r>
          </w:p>
        </w:tc>
        <w:tc>
          <w:tcPr>
            <w:tcW w:w="2898" w:type="dxa"/>
            <w:gridSpan w:val="5"/>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 in Control</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 by</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Company or by</w:t>
            </w:r>
          </w:p>
        </w:tc>
        <w:tc>
          <w:tcPr>
            <w:tcW w:w="226" w:type="dxa"/>
            <w:tcBorders/>
            <w:shd w:fill="E5E5E5" w:val="clear"/>
            <w:vAlign w:val="center"/>
          </w:tcPr>
          <w:p>
            <w:pPr>
              <w:pStyle w:val="TableContents"/>
              <w:bidi w:val="0"/>
              <w:spacing w:before="0" w:after="1"/>
              <w:ind w:left="0" w:right="0" w:hanging="0"/>
              <w:jc w:val="left"/>
              <w:rPr/>
            </w:pPr>
            <w:r>
              <w:rPr/>
              <w:t>​</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Without</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Named Executive Officer</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Executive for</w:t>
            </w:r>
          </w:p>
        </w:tc>
        <w:tc>
          <w:tcPr>
            <w:tcW w:w="226" w:type="dxa"/>
            <w:tcBorders/>
            <w:shd w:fill="E5E5E5" w:val="clear"/>
            <w:vAlign w:val="center"/>
          </w:tcPr>
          <w:p>
            <w:pPr>
              <w:pStyle w:val="TableContents"/>
              <w:bidi w:val="0"/>
              <w:spacing w:before="0" w:after="1"/>
              <w:ind w:left="0" w:right="0" w:hanging="0"/>
              <w:jc w:val="left"/>
              <w:rPr/>
            </w:pPr>
            <w:r>
              <w:rPr/>
              <w:t>​</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Payments and Benefits</w:t>
            </w:r>
          </w:p>
        </w:tc>
        <w:tc>
          <w:tcPr>
            <w:tcW w:w="226" w:type="dxa"/>
            <w:tcBorders/>
            <w:shd w:fill="E5E5E5" w:val="clear"/>
            <w:vAlign w:val="center"/>
          </w:tcPr>
          <w:p>
            <w:pPr>
              <w:pStyle w:val="TableContents"/>
              <w:bidi w:val="0"/>
              <w:spacing w:before="0" w:after="1"/>
              <w:ind w:left="0" w:right="0" w:hanging="0"/>
              <w:jc w:val="left"/>
              <w:rPr/>
            </w:pPr>
            <w:r>
              <w:rPr/>
              <w:t>  ​</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w:t>
            </w:r>
          </w:p>
        </w:tc>
        <w:tc>
          <w:tcPr>
            <w:tcW w:w="226" w:type="dxa"/>
            <w:tcBorders/>
            <w:shd w:fill="E5E5E5" w:val="clear"/>
            <w:vAlign w:val="center"/>
          </w:tcPr>
          <w:p>
            <w:pPr>
              <w:pStyle w:val="TableContents"/>
              <w:bidi w:val="0"/>
              <w:spacing w:before="0" w:after="1"/>
              <w:ind w:left="0" w:right="0" w:hanging="0"/>
              <w:jc w:val="left"/>
              <w:rPr/>
            </w:pPr>
            <w:r>
              <w:rPr/>
              <w:t>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Death</w:t>
            </w:r>
          </w:p>
        </w:tc>
        <w:tc>
          <w:tcPr>
            <w:tcW w:w="226" w:type="dxa"/>
            <w:tcBorders/>
            <w:shd w:fill="E5E5E5" w:val="clear"/>
            <w:vAlign w:val="center"/>
          </w:tcPr>
          <w:p>
            <w:pPr>
              <w:pStyle w:val="TableContents"/>
              <w:bidi w:val="0"/>
              <w:spacing w:before="0" w:after="1"/>
              <w:ind w:left="0" w:right="0" w:hanging="0"/>
              <w:jc w:val="left"/>
              <w:rPr/>
            </w:pPr>
            <w:r>
              <w:rPr/>
              <w:t>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Disability</w:t>
            </w:r>
          </w:p>
        </w:tc>
        <w:tc>
          <w:tcPr>
            <w:tcW w:w="226" w:type="dxa"/>
            <w:tcBorders/>
            <w:shd w:fill="E5E5E5" w:val="clear"/>
            <w:vAlign w:val="center"/>
          </w:tcPr>
          <w:p>
            <w:pPr>
              <w:pStyle w:val="TableContents"/>
              <w:bidi w:val="0"/>
              <w:spacing w:before="0" w:after="1"/>
              <w:ind w:left="0" w:right="0" w:hanging="0"/>
              <w:jc w:val="left"/>
              <w:rPr/>
            </w:pPr>
            <w:r>
              <w:rPr/>
              <w:t>  ​</w:t>
            </w:r>
          </w:p>
        </w:tc>
        <w:tc>
          <w:tcPr>
            <w:tcW w:w="9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Retirement</w:t>
            </w:r>
          </w:p>
        </w:tc>
        <w:tc>
          <w:tcPr>
            <w:tcW w:w="226" w:type="dxa"/>
            <w:tcBorders/>
            <w:shd w:fill="E5E5E5" w:val="clear"/>
            <w:vAlign w:val="center"/>
          </w:tcPr>
          <w:p>
            <w:pPr>
              <w:pStyle w:val="TableContents"/>
              <w:bidi w:val="0"/>
              <w:spacing w:before="0" w:after="1"/>
              <w:ind w:left="0" w:right="0" w:hanging="0"/>
              <w:jc w:val="left"/>
              <w:rPr/>
            </w:pPr>
            <w:r>
              <w:rPr/>
              <w:t>  ​</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Good Reason</w:t>
            </w:r>
          </w:p>
        </w:tc>
        <w:tc>
          <w:tcPr>
            <w:tcW w:w="226" w:type="dxa"/>
            <w:tcBorders/>
            <w:shd w:fill="E5E5E5" w:val="clear"/>
            <w:vAlign w:val="center"/>
          </w:tcPr>
          <w:p>
            <w:pPr>
              <w:pStyle w:val="TableContents"/>
              <w:bidi w:val="0"/>
              <w:spacing w:before="0" w:after="1"/>
              <w:ind w:left="0" w:right="0" w:hanging="0"/>
              <w:jc w:val="left"/>
              <w:rPr/>
            </w:pPr>
            <w:r>
              <w:rPr/>
              <w:t>  ​</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Severance (1)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435,625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1,524,688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Units (Unvested) (2)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1,539,992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1,539,992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1,539,992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Performance Units (Unvested) (2)</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1,083,571</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1,083,571</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1,083,571</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vAlign w:val="center"/>
          </w:tcPr>
          <w:p>
            <w:pPr>
              <w:pStyle w:val="TableContents"/>
              <w:bidi w:val="0"/>
              <w:spacing w:before="0" w:after="1"/>
              <w:ind w:left="0" w:right="0" w:hanging="0"/>
              <w:jc w:val="right"/>
              <w:rPr/>
            </w:pPr>
            <w:r>
              <w:rPr/>
              <w:t>—</w:t>
            </w:r>
          </w:p>
        </w:tc>
      </w:tr>
      <w:tr>
        <w:trPr/>
        <w:tc>
          <w:tcPr>
            <w:tcW w:w="1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Health &amp; Welfare Benefits Continuation (3)</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51,150</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435,625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2,623,563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2,623,563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4,199,400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81"/>
        <w:gridCol w:w="226"/>
        <w:gridCol w:w="267"/>
        <w:gridCol w:w="1009"/>
        <w:gridCol w:w="226"/>
        <w:gridCol w:w="211"/>
        <w:gridCol w:w="961"/>
        <w:gridCol w:w="226"/>
        <w:gridCol w:w="211"/>
        <w:gridCol w:w="961"/>
        <w:gridCol w:w="226"/>
        <w:gridCol w:w="369"/>
        <w:gridCol w:w="607"/>
        <w:gridCol w:w="226"/>
        <w:gridCol w:w="242"/>
        <w:gridCol w:w="1109"/>
        <w:gridCol w:w="226"/>
        <w:gridCol w:w="419"/>
        <w:gridCol w:w="902"/>
      </w:tblGrid>
      <w:tr>
        <w:trPr/>
        <w:tc>
          <w:tcPr>
            <w:tcW w:w="15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left"/>
              <w:rPr/>
            </w:pPr>
            <w:r>
              <w:rPr/>
              <w:t>​</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Michelle Keating</w:t>
            </w:r>
          </w:p>
        </w:tc>
        <w:tc>
          <w:tcPr>
            <w:tcW w:w="226" w:type="dxa"/>
            <w:tcBorders/>
            <w:shd w:fill="E5E5E5" w:val="clear"/>
            <w:vAlign w:val="center"/>
          </w:tcPr>
          <w:p>
            <w:pPr>
              <w:pStyle w:val="TableContents"/>
              <w:bidi w:val="0"/>
              <w:spacing w:before="0" w:after="1"/>
              <w:ind w:left="0" w:right="0" w:hanging="0"/>
              <w:jc w:val="left"/>
              <w:rPr/>
            </w:pPr>
            <w:r>
              <w:rPr/>
              <w:t>​</w:t>
            </w:r>
          </w:p>
        </w:tc>
        <w:tc>
          <w:tcPr>
            <w:tcW w:w="5274" w:type="dxa"/>
            <w:gridSpan w:val="11"/>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Non-Change in Control</w:t>
            </w:r>
          </w:p>
        </w:tc>
        <w:tc>
          <w:tcPr>
            <w:tcW w:w="226" w:type="dxa"/>
            <w:tcBorders/>
            <w:shd w:fill="E5E5E5" w:val="clear"/>
            <w:vAlign w:val="center"/>
          </w:tcPr>
          <w:p>
            <w:pPr>
              <w:pStyle w:val="TableContents"/>
              <w:bidi w:val="0"/>
              <w:spacing w:before="0" w:after="1"/>
              <w:ind w:left="0" w:right="0" w:hanging="0"/>
              <w:jc w:val="left"/>
              <w:rPr/>
            </w:pPr>
            <w:r>
              <w:rPr/>
              <w:t>​</w:t>
            </w:r>
          </w:p>
        </w:tc>
        <w:tc>
          <w:tcPr>
            <w:tcW w:w="2898" w:type="dxa"/>
            <w:gridSpan w:val="5"/>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 in Control</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67" w:type="dxa"/>
            <w:tcBorders/>
            <w:shd w:fill="E5E5E5" w:val="clear"/>
            <w:vAlign w:val="center"/>
          </w:tcPr>
          <w:p>
            <w:pPr>
              <w:pStyle w:val="TableContents"/>
              <w:bidi w:val="0"/>
              <w:spacing w:before="0" w:after="1"/>
              <w:ind w:left="0" w:right="0" w:hanging="0"/>
              <w:jc w:val="left"/>
              <w:rPr/>
            </w:pPr>
            <w:r>
              <w:rPr/>
              <w:t>​</w:t>
            </w:r>
          </w:p>
        </w:tc>
        <w:tc>
          <w:tcPr>
            <w:tcW w:w="1009"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Involuntary</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 by</w:t>
            </w:r>
          </w:p>
        </w:tc>
        <w:tc>
          <w:tcPr>
            <w:tcW w:w="226" w:type="dxa"/>
            <w:tcBorders/>
            <w:shd w:fill="E5E5E5" w:val="clear"/>
            <w:vAlign w:val="center"/>
          </w:tcPr>
          <w:p>
            <w:pPr>
              <w:pStyle w:val="TableContents"/>
              <w:bidi w:val="0"/>
              <w:spacing w:before="0" w:after="1"/>
              <w:ind w:left="0" w:right="0" w:hanging="0"/>
              <w:jc w:val="left"/>
              <w:rPr/>
            </w:pPr>
            <w:r>
              <w:rPr/>
              <w:t>​</w:t>
            </w:r>
          </w:p>
        </w:tc>
        <w:tc>
          <w:tcPr>
            <w:tcW w:w="419" w:type="dxa"/>
            <w:tcBorders/>
            <w:shd w:fill="E5E5E5" w:val="clear"/>
            <w:vAlign w:val="center"/>
          </w:tcPr>
          <w:p>
            <w:pPr>
              <w:pStyle w:val="TableContents"/>
              <w:bidi w:val="0"/>
              <w:spacing w:before="0" w:after="1"/>
              <w:ind w:left="0" w:right="0" w:hanging="0"/>
              <w:jc w:val="left"/>
              <w:rPr/>
            </w:pPr>
            <w:r>
              <w:rPr/>
              <w:t>​</w:t>
            </w:r>
          </w:p>
        </w:tc>
        <w:tc>
          <w:tcPr>
            <w:tcW w:w="902" w:type="dxa"/>
            <w:tcBorders/>
            <w:shd w:fill="E5E5E5" w:val="clear"/>
            <w:vAlign w:val="center"/>
          </w:tcPr>
          <w:p>
            <w:pPr>
              <w:pStyle w:val="TableContents"/>
              <w:bidi w:val="0"/>
              <w:spacing w:before="0" w:after="1"/>
              <w:ind w:left="0" w:right="0" w:hanging="0"/>
              <w:jc w:val="center"/>
              <w:rPr/>
            </w:pPr>
            <w:r>
              <w:rPr/>
              <w:t>​</w:t>
            </w:r>
          </w:p>
        </w:tc>
      </w:tr>
      <w:tr>
        <w:trPr/>
        <w:tc>
          <w:tcPr>
            <w:tcW w:w="1581" w:type="dxa"/>
            <w:tcBorders/>
            <w:shd w:fill="E5E5E5" w:val="clear"/>
            <w:vAlign w:val="center"/>
          </w:tcPr>
          <w:p>
            <w:pPr>
              <w:pStyle w:val="TableContents"/>
              <w:bidi w:val="0"/>
              <w:spacing w:before="0" w:after="1"/>
              <w:ind w:left="0" w:right="0" w:hanging="0"/>
              <w:jc w:val="left"/>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Not For Cause</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Company or by</w:t>
            </w:r>
          </w:p>
        </w:tc>
        <w:tc>
          <w:tcPr>
            <w:tcW w:w="226" w:type="dxa"/>
            <w:tcBorders/>
            <w:shd w:fill="E5E5E5" w:val="clear"/>
            <w:vAlign w:val="center"/>
          </w:tcPr>
          <w:p>
            <w:pPr>
              <w:pStyle w:val="TableContents"/>
              <w:bidi w:val="0"/>
              <w:spacing w:before="0" w:after="1"/>
              <w:ind w:left="0" w:right="0" w:hanging="0"/>
              <w:jc w:val="left"/>
              <w:rPr/>
            </w:pPr>
            <w:r>
              <w:rPr/>
              <w:t>​</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Without</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Named Executive Officer</w:t>
            </w:r>
          </w:p>
        </w:tc>
        <w:tc>
          <w:tcPr>
            <w:tcW w:w="226" w:type="dxa"/>
            <w:tcBorders/>
            <w:shd w:fill="E5E5E5" w:val="clear"/>
            <w:vAlign w:val="center"/>
          </w:tcPr>
          <w:p>
            <w:pPr>
              <w:pStyle w:val="TableContents"/>
              <w:bidi w:val="0"/>
              <w:spacing w:before="0" w:after="1"/>
              <w:ind w:left="0" w:right="0" w:hanging="0"/>
              <w:jc w:val="left"/>
              <w:rPr/>
            </w:pPr>
            <w:r>
              <w:rPr/>
              <w:t>​</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211" w:type="dxa"/>
            <w:tcBorders/>
            <w:shd w:fill="E5E5E5" w:val="clear"/>
            <w:vAlign w:val="center"/>
          </w:tcPr>
          <w:p>
            <w:pPr>
              <w:pStyle w:val="TableContents"/>
              <w:bidi w:val="0"/>
              <w:spacing w:before="0" w:after="1"/>
              <w:ind w:left="0" w:right="0" w:hanging="0"/>
              <w:jc w:val="left"/>
              <w:rPr/>
            </w:pPr>
            <w:r>
              <w:rPr/>
              <w:t>​</w:t>
            </w:r>
          </w:p>
        </w:tc>
        <w:tc>
          <w:tcPr>
            <w:tcW w:w="961"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369" w:type="dxa"/>
            <w:tcBorders/>
            <w:shd w:fill="E5E5E5" w:val="clear"/>
            <w:vAlign w:val="center"/>
          </w:tcPr>
          <w:p>
            <w:pPr>
              <w:pStyle w:val="TableContents"/>
              <w:bidi w:val="0"/>
              <w:spacing w:before="0" w:after="1"/>
              <w:ind w:left="0" w:right="0" w:hanging="0"/>
              <w:jc w:val="left"/>
              <w:rPr/>
            </w:pPr>
            <w:r>
              <w:rPr/>
              <w:t>​</w:t>
            </w:r>
          </w:p>
        </w:tc>
        <w:tc>
          <w:tcPr>
            <w:tcW w:w="607" w:type="dxa"/>
            <w:tcBorders/>
            <w:shd w:fill="E5E5E5" w:val="clear"/>
            <w:vAlign w:val="center"/>
          </w:tcPr>
          <w:p>
            <w:pPr>
              <w:pStyle w:val="TableContents"/>
              <w:bidi w:val="0"/>
              <w:spacing w:before="0" w:after="1"/>
              <w:ind w:left="0" w:right="0" w:hanging="0"/>
              <w:jc w:val="center"/>
              <w:rPr/>
            </w:pPr>
            <w:r>
              <w:rPr/>
              <w:t>​</w:t>
            </w:r>
          </w:p>
        </w:tc>
        <w:tc>
          <w:tcPr>
            <w:tcW w:w="226" w:type="dxa"/>
            <w:tcBorders/>
            <w:shd w:fill="E5E5E5" w:val="clear"/>
            <w:vAlign w:val="center"/>
          </w:tcPr>
          <w:p>
            <w:pPr>
              <w:pStyle w:val="TableContents"/>
              <w:bidi w:val="0"/>
              <w:spacing w:before="0" w:after="1"/>
              <w:ind w:left="0" w:right="0" w:hanging="0"/>
              <w:jc w:val="left"/>
              <w:rPr/>
            </w:pPr>
            <w:r>
              <w:rPr/>
              <w:t>​</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Executive for</w:t>
            </w:r>
          </w:p>
        </w:tc>
        <w:tc>
          <w:tcPr>
            <w:tcW w:w="226" w:type="dxa"/>
            <w:tcBorders/>
            <w:shd w:fill="E5E5E5" w:val="clear"/>
            <w:vAlign w:val="center"/>
          </w:tcPr>
          <w:p>
            <w:pPr>
              <w:pStyle w:val="TableContents"/>
              <w:bidi w:val="0"/>
              <w:spacing w:before="0" w:after="1"/>
              <w:ind w:left="0" w:right="0" w:hanging="0"/>
              <w:jc w:val="left"/>
              <w:rPr/>
            </w:pPr>
            <w:r>
              <w:rPr/>
              <w:t>​</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Termination of</w:t>
            </w:r>
          </w:p>
        </w:tc>
      </w:tr>
      <w:tr>
        <w:trPr/>
        <w:tc>
          <w:tcPr>
            <w:tcW w:w="158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Payments and Benefits</w:t>
            </w:r>
          </w:p>
        </w:tc>
        <w:tc>
          <w:tcPr>
            <w:tcW w:w="226" w:type="dxa"/>
            <w:tcBorders/>
            <w:shd w:fill="E5E5E5" w:val="clear"/>
            <w:vAlign w:val="center"/>
          </w:tcPr>
          <w:p>
            <w:pPr>
              <w:pStyle w:val="TableContents"/>
              <w:bidi w:val="0"/>
              <w:spacing w:before="0" w:after="1"/>
              <w:ind w:left="0" w:right="0" w:hanging="0"/>
              <w:jc w:val="left"/>
              <w:rPr/>
            </w:pPr>
            <w:r>
              <w:rPr/>
              <w:t>  ​</w:t>
            </w:r>
          </w:p>
        </w:tc>
        <w:tc>
          <w:tcPr>
            <w:tcW w:w="12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w:t>
            </w:r>
          </w:p>
        </w:tc>
        <w:tc>
          <w:tcPr>
            <w:tcW w:w="226" w:type="dxa"/>
            <w:tcBorders/>
            <w:shd w:fill="E5E5E5" w:val="clear"/>
            <w:vAlign w:val="center"/>
          </w:tcPr>
          <w:p>
            <w:pPr>
              <w:pStyle w:val="TableContents"/>
              <w:bidi w:val="0"/>
              <w:spacing w:before="0" w:after="1"/>
              <w:ind w:left="0" w:right="0" w:hanging="0"/>
              <w:jc w:val="left"/>
              <w:rPr/>
            </w:pPr>
            <w:r>
              <w:rPr/>
              <w:t>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Death</w:t>
            </w:r>
          </w:p>
        </w:tc>
        <w:tc>
          <w:tcPr>
            <w:tcW w:w="226" w:type="dxa"/>
            <w:tcBorders/>
            <w:shd w:fill="E5E5E5" w:val="clear"/>
            <w:vAlign w:val="center"/>
          </w:tcPr>
          <w:p>
            <w:pPr>
              <w:pStyle w:val="TableContents"/>
              <w:bidi w:val="0"/>
              <w:spacing w:before="0" w:after="1"/>
              <w:ind w:left="0" w:right="0" w:hanging="0"/>
              <w:jc w:val="left"/>
              <w:rPr/>
            </w:pPr>
            <w:r>
              <w:rPr/>
              <w:t>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Disability</w:t>
            </w:r>
          </w:p>
        </w:tc>
        <w:tc>
          <w:tcPr>
            <w:tcW w:w="226" w:type="dxa"/>
            <w:tcBorders/>
            <w:shd w:fill="E5E5E5" w:val="clear"/>
            <w:vAlign w:val="center"/>
          </w:tcPr>
          <w:p>
            <w:pPr>
              <w:pStyle w:val="TableContents"/>
              <w:bidi w:val="0"/>
              <w:spacing w:before="0" w:after="1"/>
              <w:ind w:left="0" w:right="0" w:hanging="0"/>
              <w:jc w:val="left"/>
              <w:rPr/>
            </w:pPr>
            <w:r>
              <w:rPr/>
              <w:t>  ​</w:t>
            </w:r>
          </w:p>
        </w:tc>
        <w:tc>
          <w:tcPr>
            <w:tcW w:w="976"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Retirement</w:t>
            </w:r>
          </w:p>
        </w:tc>
        <w:tc>
          <w:tcPr>
            <w:tcW w:w="226" w:type="dxa"/>
            <w:tcBorders/>
            <w:shd w:fill="E5E5E5" w:val="clear"/>
            <w:vAlign w:val="center"/>
          </w:tcPr>
          <w:p>
            <w:pPr>
              <w:pStyle w:val="TableContents"/>
              <w:bidi w:val="0"/>
              <w:spacing w:before="0" w:after="1"/>
              <w:ind w:left="0" w:right="0" w:hanging="0"/>
              <w:jc w:val="left"/>
              <w:rPr/>
            </w:pPr>
            <w:r>
              <w:rPr/>
              <w:t>  ​</w:t>
            </w:r>
          </w:p>
        </w:tc>
        <w:tc>
          <w:tcPr>
            <w:tcW w:w="135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Good Reason</w:t>
            </w:r>
          </w:p>
        </w:tc>
        <w:tc>
          <w:tcPr>
            <w:tcW w:w="226" w:type="dxa"/>
            <w:tcBorders/>
            <w:shd w:fill="E5E5E5" w:val="clear"/>
            <w:vAlign w:val="center"/>
          </w:tcPr>
          <w:p>
            <w:pPr>
              <w:pStyle w:val="TableContents"/>
              <w:bidi w:val="0"/>
              <w:spacing w:before="0" w:after="1"/>
              <w:ind w:left="0" w:right="0" w:hanging="0"/>
              <w:jc w:val="left"/>
              <w:rPr/>
            </w:pPr>
            <w:r>
              <w:rPr/>
              <w:t>  ​</w:t>
            </w:r>
          </w:p>
        </w:tc>
        <w:tc>
          <w:tcPr>
            <w:tcW w:w="1321"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Employment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Severance (1)</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450,000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1,440,000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Units (Unvested) (2)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1,289,735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1,289,735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1,289,735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Performance Units (Unvested) (2)</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1,373,683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1,373,683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1,373,683</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w:t>
            </w:r>
          </w:p>
        </w:tc>
      </w:tr>
      <w:tr>
        <w:trPr/>
        <w:tc>
          <w:tcPr>
            <w:tcW w:w="1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Health &amp; Welfare Benefits Continuation (3)</w:t>
            </w:r>
          </w:p>
        </w:tc>
        <w:tc>
          <w:tcPr>
            <w:tcW w:w="2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47,987</w:t>
            </w:r>
          </w:p>
        </w:tc>
        <w:tc>
          <w:tcPr>
            <w:tcW w:w="2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158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Totals</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67"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0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450,000</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2,663,418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2,663,418</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6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109"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4,151,405</w:t>
            </w:r>
          </w:p>
        </w:tc>
        <w:tc>
          <w:tcPr>
            <w:tcW w:w="22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419"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902" w:type="dxa"/>
            <w:tcBorders>
              <w:bottom w:val="single" w:sz="2" w:space="0" w:color="7F7F7F"/>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Footnotes to Potential Payments upon Termination or Change in Control Tables</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76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4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27" descr=""/>
                    <pic:cNvPicPr>
                      <a:picLocks noChangeAspect="1" noChangeArrowheads="1"/>
                    </pic:cNvPicPr>
                  </pic:nvPicPr>
                  <pic:blipFill>
                    <a:blip r:embed="rId128"/>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POTENTIAL PAYMENTS UPON TERMINATION OR CHANGE IN CONTROL</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Prior to a Change in Control, upon an involuntary, not for Cause termination, each named executive officer is assumed to receive the maximum severance payable under the provisions of his or her Employment Agreement (base salary for 24 months for Mr. Chowbey and base salary for 12 months for each other named executive officer).</w:t>
            </w:r>
          </w:p>
        </w:tc>
      </w:tr>
    </w:tbl>
    <w:p>
      <w:pPr>
        <w:pStyle w:val="TextBody"/>
        <w:bidi w:val="0"/>
        <w:spacing w:before="0" w:after="120"/>
        <w:ind w:left="504" w:right="0" w:hanging="0"/>
        <w:jc w:val="both"/>
        <w:rPr>
          <w:rFonts w:ascii="Arial;Helvetica;sans-serif" w:hAnsi="Arial;Helvetica;sans-serif"/>
          <w:sz w:val="20"/>
        </w:rPr>
      </w:pPr>
      <w:r>
        <w:rPr>
          <w:rFonts w:ascii="Arial;Helvetica;sans-serif" w:hAnsi="Arial;Helvetica;sans-serif"/>
          <w:sz w:val="20"/>
        </w:rPr>
        <w:t>For purposes of these calculations, upon an involuntary termination, other than for Cause or disability, following a Change in Control, or termination by the named executive officer for Good Reason following a Change in Control, each named executive officer is assumed to receive the maximum severance payable under the provisions of his or her Employment Agreement.  For each named executive officer this is an amount equal to two (2) times the base salary at the annual rate in effect on the Date of Termination and two (2) times the target bonus for the fiscal year in which the termination occurred.</w:t>
      </w:r>
    </w:p>
    <w:p>
      <w:pPr>
        <w:pStyle w:val="TextBody"/>
        <w:bidi w:val="0"/>
        <w:spacing w:before="0" w:after="120"/>
        <w:ind w:left="504" w:right="0" w:hanging="0"/>
        <w:jc w:val="both"/>
        <w:rPr>
          <w:rFonts w:ascii="Arial;Helvetica;sans-serif" w:hAnsi="Arial;Helvetica;sans-serif"/>
          <w:sz w:val="20"/>
        </w:rPr>
      </w:pPr>
      <w:r>
        <w:rPr>
          <w:rFonts w:ascii="Arial;Helvetica;sans-serif" w:hAnsi="Arial;Helvetica;sans-serif"/>
          <w:sz w:val="20"/>
        </w:rPr>
        <w:t>Each named executive officer’s Employment Agreement provides that certain severance payments will be cut back to amounts that do not exceed each named executive officer’s respective safe harbor limit, as defined under the golden parachute rules of Internal Revenue Code Section 280G.</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amounts shown for each named executive officer represent the value of restricted unit awards and performance unit awards that would have been subject to accelerated vesting upon the various scenarios based on the fair market value of the Company’s stock on June 30, 2026 (the last business day of Fiscal 2026) multiplied by the number of shares that would have vested under each such award.  With respect to the performance units outstanding for which the applicable performance period had not been completed as of June 30, 2026, the number of shares reported represents the full number of performance units that were able to be earned at the target level.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each named executive officer, these benefits consist of continued medical, dental, group term life, long term disability benefits, and accidental death and dismemberment for two (2) years upon involuntary, not for Cause termination or upon termination by the executive for Good Reason in connection with a change in control, as provided under the terms of the executive employment agreements.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77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4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28" descr=""/>
                    <pic:cNvPicPr>
                      <a:picLocks noChangeAspect="1" noChangeArrowheads="1"/>
                    </pic:cNvPicPr>
                  </pic:nvPicPr>
                  <pic:blipFill>
                    <a:blip r:embed="rId129"/>
                    <a:stretch>
                      <a:fillRect/>
                    </a:stretch>
                  </pic:blipFill>
                  <pic:spPr bwMode="auto">
                    <a:xfrm>
                      <a:off x="0" y="0"/>
                      <a:ext cx="6858000" cy="480695"/>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77" w:name="CEOPayRatioforFiscalYear2023_702787"/>
      <w:bookmarkStart w:id="78" w:name="_f0b2b16a_ce25_47f9_bc32_23b4642c4c99"/>
      <w:bookmarkEnd w:id="77"/>
      <w:bookmarkEnd w:id="78"/>
      <w:r>
        <w:rPr>
          <w:rFonts w:ascii="Arial;Helvetica;sans-serif" w:hAnsi="Arial;Helvetica;sans-serif"/>
          <w:b/>
          <w:sz w:val="32"/>
        </w:rPr>
        <w:t>CEO Pay Ratio for Fiscal Year 2026</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Under the Dodd-Frank Wall Street Reform and Consumer Protection Act, we are required to disclose the ratio of the annual total compensation of our CEO, Mr. Chowbey, to the annual total compensation of our median employee. For 2026, we determined that there was no change in our employee population or compensation arrangements that would significantly affect the CEO pay ratio and that it was reasonable to use the same median employee identified in 2025. We identified  that median employee using Target Total Direct Compensation as our consistently applied compensation measure from our employee population, excluding our CEOs, as of June 30, 2025 (8,123 employees in total, 2,504 of whom were located in the United States and 5,619 of whom were located in various jurisdictions outside of the United States). Target Total Direct Compensation is defined as the sum of annual salary, target annual cash incentives and target long-term incentives. For hourly employees, the annual salary component of Target Total Direct Compensation was calculated using a reasonable estimate of hours worked and their hourly wage rate. We annualized Target Total Direct Compensation for those of our 8,123 employees who were employed as of June 30, 2025, but were not employed for the full fiscal year. For our non-U.S. employees, we used the foreign exchange rates applicable at June 1, 2025 to convert their Target Total Direct Compensation into U.S. dollars. As permitted by SEC rules, we excluded all employees in certain jurisdictions located outside of the United States, which collectively represented less than 5% of our total number of employees. Approximately the following number of employees were excluded by jurisdiction: Poland (145), Spain (152), Switzerland (23), and the United Kingdom (83). After excluding employees in these jurisdictions, as referenced above, our pay ratio calculation included 7,720 of our total 8,123 employees.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calculated the annual total compensation for the median employee using the same methodology that we use for determining our CEO total compensation as disclosed in the Summary Compensation Table. For 2026, the median employee’s annual total compensation was $65,588 and Mr. Chowbey’s annual total compensation was $7,262,622. Accordingly, the Fiscal Year 2026 ratio of annual total compensation for Mr. Chowbey relative to our median employee’s annual total compensation is 111:1, which is a reasonable estimate that has been calculated in a manner consistent with the rules adopted by the SEC and is based on our records and the methodology described above.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78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4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29" descr=""/>
                    <pic:cNvPicPr>
                      <a:picLocks noChangeAspect="1" noChangeArrowheads="1"/>
                    </pic:cNvPicPr>
                  </pic:nvPicPr>
                  <pic:blipFill>
                    <a:blip r:embed="rId130"/>
                    <a:stretch>
                      <a:fillRect/>
                    </a:stretch>
                  </pic:blipFill>
                  <pic:spPr bwMode="auto">
                    <a:xfrm>
                      <a:off x="0" y="0"/>
                      <a:ext cx="6876415" cy="474980"/>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79" w:name="PayVersusPerformancePVP_166475"/>
      <w:bookmarkStart w:id="80" w:name="_2bdd25e0_05ce_4a71_a9a6_f9524fe81534"/>
      <w:bookmarkEnd w:id="79"/>
      <w:bookmarkEnd w:id="80"/>
      <w:r>
        <w:rPr>
          <w:rFonts w:ascii="Arial;Helvetica;sans-serif" w:hAnsi="Arial;Helvetica;sans-serif"/>
          <w:b/>
          <w:sz w:val="32"/>
        </w:rPr>
        <w:t>Pay Versus Performance (“PVP”)</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w:t>
      </w:r>
    </w:p>
    <w:p>
      <w:pPr>
        <w:pStyle w:val="TextBody"/>
        <w:bidi w:val="0"/>
        <w:spacing w:before="0" w:after="0"/>
        <w:ind w:left="0" w:right="0" w:hanging="0"/>
        <w:jc w:val="left"/>
        <w:rPr/>
      </w:pPr>
      <w:bookmarkStart w:id="81" w:name="Tc_jmqFxt2wMkmTB47pYi22Ug_12_29"/>
      <w:bookmarkStart w:id="82" w:name="Tc_DJYbw2-_WE-raP9d9Kv8uQ_12_26"/>
      <w:bookmarkStart w:id="83" w:name="Tc_mqjs6OvvR0ikxK4Voc5Vug_12_23"/>
      <w:bookmarkStart w:id="84" w:name="Tc_QLckNLx0O0S20ynqfRKBaA_12_20"/>
      <w:bookmarkStart w:id="85" w:name="Tc_7ROzfzCVPka5haBK1CNoSA_12_17"/>
      <w:bookmarkStart w:id="86" w:name="Tc_PuEbnzwHU0yxTyYh8snGIA_12_14"/>
      <w:bookmarkStart w:id="87" w:name="Tc_LGcMq46m3E-I7pq-id2Tjw_12_12"/>
      <w:bookmarkStart w:id="88" w:name="Tc_nqQP8qMGmkiCYP0oEz75yg_12_11"/>
      <w:bookmarkStart w:id="89" w:name="Tc_dVvFQicIhkuA7ewxC7IHUQ_12_8"/>
      <w:bookmarkStart w:id="90" w:name="Tc_Bfy4Tx7ZVEuJqVYq1RVOFg_12_6"/>
      <w:bookmarkStart w:id="91" w:name="Tc_A6jjUy-F8kysgx0E2pI8bg_12_5"/>
      <w:bookmarkStart w:id="92" w:name="Tc_5ExlNOFLr06fXCyhN9kbhw_12_2"/>
      <w:bookmarkStart w:id="93" w:name="Tc_3KV_l0Cf4EWGKhxUEEplLA_12_0"/>
      <w:bookmarkStart w:id="94" w:name="Tc_iiFW3oHrG0yMj5Adfyyrdg_11_29"/>
      <w:bookmarkStart w:id="95" w:name="Tc_6nZlN5s3qEe7iLsHBFfymQ_11_26"/>
      <w:bookmarkStart w:id="96" w:name="Tc_8N0FFTNTIECKQMSzLhoQ9w_11_23"/>
      <w:bookmarkStart w:id="97" w:name="Tc_NRgXrk6X8kubiv7hqulzfQ_11_20"/>
      <w:bookmarkStart w:id="98" w:name="Tc_p5KpARo100-2W9LDkHIo8g_11_17"/>
      <w:bookmarkStart w:id="99" w:name="Tc_dBvhRkqH3E-xfE9cvvdFqQ_11_14"/>
      <w:bookmarkStart w:id="100" w:name="Tc_TV-q5MLbwE2MuISc7ATC7A_11_12"/>
      <w:bookmarkStart w:id="101" w:name="Tc__e4wwnUf6k29St39ONuQaw_11_11"/>
      <w:bookmarkStart w:id="102" w:name="Tc_uv0ihOEftEyJYrjRjMJQ0A_11_8"/>
      <w:bookmarkStart w:id="103" w:name="Tc_eWxfJ8yGVkKapNdDj-13Tg_11_6"/>
      <w:bookmarkStart w:id="104" w:name="Tc_qTvROzhau0-s90sl-P46qQ_11_5"/>
      <w:bookmarkStart w:id="105" w:name="Tc_eO0klRRZlEmKPlw9yoBRfQ_11_2"/>
      <w:bookmarkStart w:id="106" w:name="Tc_tY1omS2fkEqIJ8R13mijvQ_11_0"/>
      <w:bookmarkStart w:id="107" w:name="Tc_c--uFrAuOUODNyFaMSRayg_10_29"/>
      <w:bookmarkStart w:id="108" w:name="Tc_pjNk6HpQ3kGwmCURMyl9hw_10_26"/>
      <w:bookmarkStart w:id="109" w:name="Tc_cbj0Xs-DG0WdbzqxyxgpCg_10_23"/>
      <w:bookmarkStart w:id="110" w:name="Tc_oawQcdvh10ybXwtJLtsIsg_10_20"/>
      <w:bookmarkStart w:id="111" w:name="Tc_AXRGzfGb5U6keoc9QX51uA_10_17"/>
      <w:bookmarkStart w:id="112" w:name="Tc_Lo7cjW1pzEW2wJOosT2mdw_10_14"/>
      <w:bookmarkStart w:id="113" w:name="Tc__oNXWCEZAUCDOY9_ilx91w_10_11"/>
      <w:bookmarkStart w:id="114" w:name="Tc_H2qo9kE1_U-dDcWstMGoiA_10_8"/>
      <w:bookmarkStart w:id="115" w:name="Tc_88DTLwGbj0qta_Fh39URJg_10_5"/>
      <w:bookmarkStart w:id="116" w:name="Tc_gJt9HujD90eFaGLx90vfGw_10_2"/>
      <w:bookmarkStart w:id="117" w:name="Tc_4rDjMprREkKZdb1UMTnoDg_10_0"/>
      <w:bookmarkStart w:id="118" w:name="Tc_Pd2ksk_BBUC1W-e4nb3TgQ_9_29"/>
      <w:bookmarkStart w:id="119" w:name="Tc_zz3l44ULK0y8HhxpoB4jtg_9_26"/>
      <w:bookmarkStart w:id="120" w:name="Tc_66q2U0MhV0mJpa-bhZ7m8w_9_23"/>
      <w:bookmarkStart w:id="121" w:name="Tc_BpBEiG1GCU2F31z3Q534Ew_9_20"/>
      <w:bookmarkStart w:id="122" w:name="Tc_gKYbtwI2cESh78W2KKmdTw_9_17"/>
      <w:bookmarkStart w:id="123" w:name="Tc_vNihvFyE3kGZ8gUY_T2fEg_9_14"/>
      <w:bookmarkStart w:id="124" w:name="Tc_w8FFoTL_XU2hOnSLNlvZFg_9_11"/>
      <w:bookmarkStart w:id="125" w:name="Tc_atexQNtNA06MjDKm5lgP2Q_9_9"/>
      <w:bookmarkStart w:id="126" w:name="Tc_ycT-DKvEtUCG367KG9xTnA_9_8"/>
      <w:bookmarkStart w:id="127" w:name="Tc_FgNYrugnF0O5sSth1y332Q_9_5"/>
      <w:bookmarkStart w:id="128" w:name="Tc__RrIpwamukCA3OOZArjXdA_9_3"/>
      <w:bookmarkStart w:id="129" w:name="Tc_yhnRoLykME6cDWB9aSUY1A_9_2"/>
      <w:bookmarkStart w:id="130" w:name="Tc_a4Oe_AZ8vEipWjoGD4i5lw_9_0"/>
      <w:bookmarkStart w:id="131" w:name="Tc_vQjwadNXnk23uG2ObMUAiQ_8_29"/>
      <w:bookmarkStart w:id="132" w:name="Tc_dLT993tF1k-sJWX460OVkQ_8_26"/>
      <w:bookmarkStart w:id="133" w:name="Tc_jUxXOSEzO0-EX70DuvEj3A_8_23"/>
      <w:bookmarkStart w:id="134" w:name="Tc_BThXL0WoakKxTarXcKTsLg_8_20"/>
      <w:bookmarkStart w:id="135" w:name="Tc_v7gDKebmqEKrUZkgmAYL2A_8_17"/>
      <w:bookmarkStart w:id="136" w:name="Tc_KUUND1hjqkOKgqP2F-EF5g_8_11"/>
      <w:bookmarkStart w:id="137" w:name="Tc_vhLWV89q6UuSp2Xcw4k9eA_8_9"/>
      <w:bookmarkStart w:id="138" w:name="Tc_gb_8aBqH8UqjQPo6BEiIcQ_8_5"/>
      <w:bookmarkStart w:id="139" w:name="Tc_-fc7oKfeKEqKUJHyi1X57Q_8_3"/>
      <w:bookmarkStart w:id="140" w:name="Tc_S-NkElXKPkOv8N_Lkyl8bg_8_2"/>
      <w:bookmarkStart w:id="141" w:name="Tc_c3H5W3MP_k-g3pMU2nBwfg_8_0"/>
      <w:bookmarkStart w:id="142" w:name="Tc_cW1kxWr99UyseudgdLNAlw_7_29"/>
      <w:bookmarkStart w:id="143" w:name="Tc_cKb3PPEMzkeArNYVEbCw7w_7_26"/>
      <w:bookmarkStart w:id="144" w:name="Tc_Vcp0f2nD5Ee8OPS2iLcrmw_7_23"/>
      <w:bookmarkStart w:id="145" w:name="Tc_h0iZgXWtt0u08y8bI2w40A_7_20"/>
      <w:bookmarkStart w:id="146" w:name="Tc_v-Am0fkvTUKVb3r8Hg-y7Q_7_17"/>
      <w:bookmarkStart w:id="147" w:name="Tc_d7AHYQusx0GJmCsGl5UzeA_7_14"/>
      <w:bookmarkStart w:id="148" w:name="Tc_Vpz6hyKE7kmVFNsBbvyNrQ_7_12"/>
      <w:bookmarkStart w:id="149" w:name="Tc_plnyKYu5zEChcck1d_s1Ng_7_9"/>
      <w:bookmarkStart w:id="150" w:name="Tc_v507Zo8vJUarBo0sGTYZLQ_7_5"/>
      <w:bookmarkStart w:id="151" w:name="Tc_fhm9bxUtNESHlRGWc42z_w_7_2"/>
      <w:bookmarkStart w:id="152" w:name="Tc_fsCZ3aYQTEiBkxNc5Mti6g_7_0"/>
      <w:bookmarkStart w:id="153" w:name="Tc_EZt3EBug_E-0bGNLkgne2A_6_29"/>
      <w:bookmarkStart w:id="154" w:name="Tc_Hist7fFrA0CXg5LydKD-OQ_6_26"/>
      <w:bookmarkStart w:id="155" w:name="Tc_Ornfs1mH20a09Ttb_q3T8g_6_23"/>
      <w:bookmarkStart w:id="156" w:name="Tc_GRcbl096AU2GhmHXxWsfJA_6_20"/>
      <w:bookmarkStart w:id="157" w:name="Tc_w-KgoI4GRE2rRJsxG2xnbg_6_17"/>
      <w:bookmarkStart w:id="158" w:name="Tc_TeYLOq0fr0a8jHferLXmCw_6_14"/>
      <w:bookmarkStart w:id="159" w:name="Tc_8RXv-3siYUWrYHNdcfTA7A_6_12"/>
      <w:bookmarkStart w:id="160" w:name="Tc_dKB9lDqmMkazOd34SEjG5g_6_9"/>
      <w:bookmarkStart w:id="161" w:name="Tc_0zpf8m5mBUi7KseBBkqXig_6_5"/>
      <w:bookmarkStart w:id="162" w:name="Tc_mCDl8LYWNECErhPmA2Bqtg_6_2"/>
      <w:bookmarkStart w:id="163" w:name="Tc_1glmvgA_E0WPz4GE2QQQdg_6_0"/>
      <w:bookmarkStart w:id="164" w:name="Tc_0rZH54AJtkKhpOfdtAyN1g_5_29"/>
      <w:bookmarkStart w:id="165" w:name="Tc_GN370kTCyEyBiRRGY16LXg_5_26"/>
      <w:bookmarkStart w:id="166" w:name="Tc_O8g1xWU-NEGq-NEaY2hFIQ_5_23"/>
      <w:bookmarkStart w:id="167" w:name="Tc_-QoNQaKa7k2vXTJuyncfgQ_5_20"/>
      <w:bookmarkStart w:id="168" w:name="Tc_gt5sd7e-UkKKMLndLWFSWQ_5_17"/>
      <w:bookmarkStart w:id="169" w:name="Tc_jyryQctxDkegmvFYDh2IsQ_5_14"/>
      <w:bookmarkStart w:id="170" w:name="Tc_w7J_qLknY02Rp8VsYB_rwg_5_12"/>
      <w:bookmarkStart w:id="171" w:name="Tc_R30YRxVwhk-YmXZCzdK3MQ_5_9"/>
      <w:bookmarkStart w:id="172" w:name="Tc_kojKu90ya0ivcPz8DHXozw_5_5"/>
      <w:bookmarkStart w:id="173" w:name="Tc_TAs856xbm0u2JbIMqnaCvw_5_2"/>
      <w:bookmarkStart w:id="174" w:name="Tc_nTMfZ5k9i0-SLncttxGqMA_5_0"/>
      <w:bookmarkStart w:id="175" w:name="Tc_EdTp6ro5ZkGfIJ9h-1cmGA_4_29"/>
      <w:bookmarkStart w:id="176" w:name="Tc_CH6EZtqPGEacyqzRBeb5YA_4_26"/>
      <w:bookmarkStart w:id="177" w:name="Tc_NiG80VVqGkqJP94mwqBS6g_4_23"/>
      <w:bookmarkStart w:id="178" w:name="Tc_4F84_hciYUaqNMZCwn7VrQ_4_20"/>
      <w:bookmarkStart w:id="179" w:name="Tc_oXBzRYNCy0mrePkHy_dORA_4_17"/>
      <w:bookmarkStart w:id="180" w:name="Tc_7URerb4XZU2MbtZJ89rpzQ_4_14"/>
      <w:bookmarkStart w:id="181" w:name="Tc_lBhX48KfuUidJ4dK4J0zyQ_4_12"/>
      <w:bookmarkStart w:id="182" w:name="Tc_05F65cvPrEmSW4MIcQuqBQ_4_9"/>
      <w:bookmarkStart w:id="183" w:name="Tc_8dO8mQUZDUaZ5JdtRRqA5A_4_5"/>
      <w:bookmarkStart w:id="184" w:name="Tc_fZnECE5TBEWHGNJyTLQltA_4_2"/>
      <w:bookmarkStart w:id="185" w:name="Tc_Ne2hkvjcYka0T_mukUjDtQ_3_23"/>
      <w:bookmarkStart w:id="186" w:name="Tc_xgdhACFalEC9bzWoosvQzg_3_17"/>
      <w:bookmarkStart w:id="187" w:name="Tc_Dq3qoHXcLEyStNkLnrYGjg_3_14"/>
      <w:bookmarkStart w:id="188" w:name="Tc_YJ4ItYfkv0CwCykXZVReeg_3_5"/>
      <w:bookmarkStart w:id="189" w:name="Tc_XASSennl80uQimbIvPjPVA_3_2"/>
      <w:bookmarkStart w:id="190" w:name="Tc_6sPc5YkzdkeLtxwo3Q-GFw_2_20"/>
      <w:bookmarkStart w:id="191" w:name="Tc_A7kB_q8J4EGOxvurgxwqPg_2_17"/>
      <w:bookmarkStart w:id="192" w:name="Tc_Gv3gOBiOxE6wFaZCIYAKGA_2_14"/>
      <w:bookmarkStart w:id="193" w:name="Tc_ZUuy6zRt0EOjaWP2wIsOzQ_2_6"/>
      <w:bookmarkStart w:id="194" w:name="Tc_11_E7jG2-0eGaUNj16DRSQ_1_20"/>
      <w:bookmarkStart w:id="195" w:name="Tc_Ot2Gbup4hkGkK8-E0JCH3w_1_14"/>
      <w:bookmarkStart w:id="196" w:name="_32a3c522_14ad_4e85_855c_eadbfacf1d3d"/>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t>​</w:t>
      </w:r>
    </w:p>
    <w:tbl>
      <w:tblPr>
        <w:tblW w:w="12394" w:type="dxa"/>
        <w:jc w:val="left"/>
        <w:tblInd w:w="0" w:type="dxa"/>
        <w:tblLayout w:type="fixed"/>
        <w:tblCellMar>
          <w:top w:w="0" w:type="dxa"/>
          <w:left w:w="0" w:type="dxa"/>
          <w:bottom w:w="0" w:type="dxa"/>
          <w:right w:w="0" w:type="dxa"/>
        </w:tblCellMar>
      </w:tblPr>
      <w:tblGrid>
        <w:gridCol w:w="511"/>
        <w:gridCol w:w="226"/>
        <w:gridCol w:w="201"/>
        <w:gridCol w:w="805"/>
        <w:gridCol w:w="226"/>
        <w:gridCol w:w="201"/>
        <w:gridCol w:w="805"/>
        <w:gridCol w:w="109"/>
        <w:gridCol w:w="181"/>
        <w:gridCol w:w="1006"/>
        <w:gridCol w:w="109"/>
        <w:gridCol w:w="181"/>
        <w:gridCol w:w="1006"/>
        <w:gridCol w:w="226"/>
        <w:gridCol w:w="201"/>
        <w:gridCol w:w="805"/>
        <w:gridCol w:w="226"/>
        <w:gridCol w:w="201"/>
        <w:gridCol w:w="805"/>
        <w:gridCol w:w="226"/>
        <w:gridCol w:w="226"/>
        <w:gridCol w:w="660"/>
        <w:gridCol w:w="246"/>
        <w:gridCol w:w="225"/>
        <w:gridCol w:w="661"/>
        <w:gridCol w:w="226"/>
        <w:gridCol w:w="236"/>
        <w:gridCol w:w="590"/>
        <w:gridCol w:w="226"/>
        <w:gridCol w:w="210"/>
        <w:gridCol w:w="631"/>
      </w:tblGrid>
      <w:tr>
        <w:trPr/>
        <w:tc>
          <w:tcPr>
            <w:tcW w:w="5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51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01" w:type="dxa"/>
            <w:tcBorders/>
            <w:shd w:fill="E5E5E5" w:val="clear"/>
            <w:vAlign w:val="center"/>
          </w:tcPr>
          <w:p>
            <w:pPr>
              <w:pStyle w:val="TableContents"/>
              <w:bidi w:val="0"/>
              <w:spacing w:before="0" w:after="0"/>
              <w:ind w:left="0" w:right="0" w:hanging="0"/>
              <w:jc w:val="left"/>
              <w:rPr/>
            </w:pPr>
            <w:r>
              <w:rPr/>
              <w:t>​</w:t>
            </w:r>
          </w:p>
        </w:tc>
        <w:tc>
          <w:tcPr>
            <w:tcW w:w="805"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01" w:type="dxa"/>
            <w:tcBorders/>
            <w:shd w:fill="E5E5E5" w:val="clear"/>
            <w:vAlign w:val="center"/>
          </w:tcPr>
          <w:p>
            <w:pPr>
              <w:pStyle w:val="TableContents"/>
              <w:bidi w:val="0"/>
              <w:spacing w:before="0" w:after="0"/>
              <w:ind w:left="0" w:right="0" w:hanging="0"/>
              <w:jc w:val="left"/>
              <w:rPr/>
            </w:pPr>
            <w:r>
              <w:rPr/>
              <w:t>​</w:t>
            </w:r>
          </w:p>
        </w:tc>
        <w:tc>
          <w:tcPr>
            <w:tcW w:w="805" w:type="dxa"/>
            <w:tcBorders/>
            <w:shd w:fill="E5E5E5" w:val="clear"/>
            <w:vAlign w:val="center"/>
          </w:tcPr>
          <w:p>
            <w:pPr>
              <w:pStyle w:val="TableContents"/>
              <w:bidi w:val="0"/>
              <w:spacing w:before="0" w:after="0"/>
              <w:ind w:left="0" w:right="0" w:hanging="0"/>
              <w:jc w:val="center"/>
              <w:rPr/>
            </w:pPr>
            <w:r>
              <w:rPr/>
              <w:t>​</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pPr>
            <w:r>
              <w:rPr/>
              <w:t>​</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Average</w:t>
            </w:r>
          </w:p>
        </w:tc>
        <w:tc>
          <w:tcPr>
            <w:tcW w:w="226" w:type="dxa"/>
            <w:tcBorders/>
            <w:shd w:fill="E5E5E5" w:val="clear"/>
            <w:vAlign w:val="center"/>
          </w:tcPr>
          <w:p>
            <w:pPr>
              <w:pStyle w:val="TableContents"/>
              <w:bidi w:val="0"/>
              <w:spacing w:before="0" w:after="0"/>
              <w:ind w:left="0" w:right="0" w:hanging="0"/>
              <w:jc w:val="left"/>
              <w:rPr/>
            </w:pPr>
            <w:r>
              <w:rPr/>
              <w:t>​</w:t>
            </w:r>
          </w:p>
        </w:tc>
        <w:tc>
          <w:tcPr>
            <w:tcW w:w="201" w:type="dxa"/>
            <w:tcBorders/>
            <w:shd w:fill="E5E5E5" w:val="clear"/>
            <w:vAlign w:val="center"/>
          </w:tcPr>
          <w:p>
            <w:pPr>
              <w:pStyle w:val="TableContents"/>
              <w:bidi w:val="0"/>
              <w:spacing w:before="0" w:after="0"/>
              <w:ind w:left="0" w:right="0" w:hanging="0"/>
              <w:jc w:val="left"/>
              <w:rPr/>
            </w:pPr>
            <w:r>
              <w:rPr/>
              <w:t>​</w:t>
            </w:r>
          </w:p>
        </w:tc>
        <w:tc>
          <w:tcPr>
            <w:tcW w:w="805"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018" w:type="dxa"/>
            <w:gridSpan w:val="5"/>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Value of Initial Fixed $100</w:t>
            </w:r>
          </w:p>
        </w:tc>
        <w:tc>
          <w:tcPr>
            <w:tcW w:w="226" w:type="dxa"/>
            <w:tcBorders/>
            <w:shd w:fill="E5E5E5" w:val="clear"/>
            <w:vAlign w:val="center"/>
          </w:tcPr>
          <w:p>
            <w:pPr>
              <w:pStyle w:val="TableContents"/>
              <w:bidi w:val="0"/>
              <w:spacing w:before="0" w:after="0"/>
              <w:ind w:left="0" w:right="0" w:hanging="0"/>
              <w:jc w:val="left"/>
              <w:rPr/>
            </w:pPr>
            <w:r>
              <w:rPr/>
              <w:t>​</w:t>
            </w:r>
          </w:p>
        </w:tc>
        <w:tc>
          <w:tcPr>
            <w:tcW w:w="236" w:type="dxa"/>
            <w:tcBorders/>
            <w:shd w:fill="E5E5E5" w:val="clear"/>
            <w:vAlign w:val="center"/>
          </w:tcPr>
          <w:p>
            <w:pPr>
              <w:pStyle w:val="TableContents"/>
              <w:bidi w:val="0"/>
              <w:spacing w:before="0" w:after="0"/>
              <w:ind w:left="0" w:right="0" w:hanging="0"/>
              <w:jc w:val="left"/>
              <w:rPr/>
            </w:pPr>
            <w:r>
              <w:rPr/>
              <w:t>​</w:t>
            </w:r>
          </w:p>
        </w:tc>
        <w:tc>
          <w:tcPr>
            <w:tcW w:w="590"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0" w:type="dxa"/>
            <w:tcBorders/>
            <w:shd w:fill="E5E5E5" w:val="clear"/>
            <w:vAlign w:val="center"/>
          </w:tcPr>
          <w:p>
            <w:pPr>
              <w:pStyle w:val="TableContents"/>
              <w:bidi w:val="0"/>
              <w:spacing w:before="0" w:after="0"/>
              <w:ind w:left="0" w:right="0" w:hanging="0"/>
              <w:jc w:val="left"/>
              <w:rPr/>
            </w:pPr>
            <w:r>
              <w:rPr/>
              <w:t>​</w:t>
            </w:r>
          </w:p>
        </w:tc>
        <w:tc>
          <w:tcPr>
            <w:tcW w:w="631" w:type="dxa"/>
            <w:tcBorders/>
            <w:shd w:fill="E5E5E5" w:val="clear"/>
            <w:vAlign w:val="center"/>
          </w:tcPr>
          <w:p>
            <w:pPr>
              <w:pStyle w:val="TableContents"/>
              <w:bidi w:val="0"/>
              <w:spacing w:before="0" w:after="0"/>
              <w:ind w:left="0" w:right="0" w:hanging="0"/>
              <w:jc w:val="center"/>
              <w:rPr/>
            </w:pPr>
            <w:r>
              <w:rPr/>
              <w:t>​</w:t>
            </w:r>
          </w:p>
        </w:tc>
      </w:tr>
      <w:tr>
        <w:trPr/>
        <w:tc>
          <w:tcPr>
            <w:tcW w:w="51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01" w:type="dxa"/>
            <w:tcBorders/>
            <w:shd w:fill="E5E5E5" w:val="clear"/>
            <w:vAlign w:val="center"/>
          </w:tcPr>
          <w:p>
            <w:pPr>
              <w:pStyle w:val="TableContents"/>
              <w:bidi w:val="0"/>
              <w:spacing w:before="0" w:after="0"/>
              <w:ind w:left="0" w:right="0" w:hanging="0"/>
              <w:jc w:val="left"/>
              <w:rPr/>
            </w:pPr>
            <w:r>
              <w:rPr/>
              <w:t>​</w:t>
            </w:r>
          </w:p>
        </w:tc>
        <w:tc>
          <w:tcPr>
            <w:tcW w:w="805"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01" w:type="dxa"/>
            <w:tcBorders/>
            <w:shd w:fill="E5E5E5" w:val="clear"/>
            <w:vAlign w:val="center"/>
          </w:tcPr>
          <w:p>
            <w:pPr>
              <w:pStyle w:val="TableContents"/>
              <w:bidi w:val="0"/>
              <w:spacing w:before="0" w:after="0"/>
              <w:ind w:left="0" w:right="0" w:hanging="0"/>
              <w:jc w:val="left"/>
              <w:rPr/>
            </w:pPr>
            <w:r>
              <w:rPr/>
              <w:t>​</w:t>
            </w:r>
          </w:p>
        </w:tc>
        <w:tc>
          <w:tcPr>
            <w:tcW w:w="805" w:type="dxa"/>
            <w:tcBorders/>
            <w:shd w:fill="E5E5E5"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Summary</w:t>
            </w:r>
          </w:p>
        </w:tc>
        <w:tc>
          <w:tcPr>
            <w:tcW w:w="109" w:type="dxa"/>
            <w:tcBorders/>
            <w:shd w:fill="E5E5E5" w:val="clear"/>
            <w:vAlign w:val="center"/>
          </w:tcPr>
          <w:p>
            <w:pPr>
              <w:pStyle w:val="TableContents"/>
              <w:bidi w:val="0"/>
              <w:spacing w:before="0" w:after="0"/>
              <w:ind w:left="0" w:right="0" w:hanging="0"/>
              <w:jc w:val="left"/>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pPr>
            <w:r>
              <w:rPr/>
              <w:t>​</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Summary</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Average</w:t>
            </w:r>
          </w:p>
        </w:tc>
        <w:tc>
          <w:tcPr>
            <w:tcW w:w="226" w:type="dxa"/>
            <w:tcBorders/>
            <w:shd w:fill="E5E5E5" w:val="clear"/>
            <w:vAlign w:val="center"/>
          </w:tcPr>
          <w:p>
            <w:pPr>
              <w:pStyle w:val="TableContents"/>
              <w:bidi w:val="0"/>
              <w:spacing w:before="0" w:after="0"/>
              <w:ind w:left="0" w:right="0" w:hanging="0"/>
              <w:jc w:val="left"/>
              <w:rPr/>
            </w:pPr>
            <w:r>
              <w:rPr/>
              <w:t>​</w:t>
            </w:r>
          </w:p>
        </w:tc>
        <w:tc>
          <w:tcPr>
            <w:tcW w:w="2018" w:type="dxa"/>
            <w:gridSpan w:val="5"/>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Investment Based on:</w:t>
            </w:r>
          </w:p>
        </w:tc>
        <w:tc>
          <w:tcPr>
            <w:tcW w:w="226" w:type="dxa"/>
            <w:tcBorders/>
            <w:shd w:fill="E5E5E5" w:val="clear"/>
            <w:vAlign w:val="center"/>
          </w:tcPr>
          <w:p>
            <w:pPr>
              <w:pStyle w:val="TableContents"/>
              <w:bidi w:val="0"/>
              <w:spacing w:before="0" w:after="0"/>
              <w:ind w:left="0" w:right="0" w:hanging="0"/>
              <w:jc w:val="left"/>
              <w:rPr/>
            </w:pPr>
            <w:r>
              <w:rPr/>
              <w:t>​</w:t>
            </w:r>
          </w:p>
        </w:tc>
        <w:tc>
          <w:tcPr>
            <w:tcW w:w="236" w:type="dxa"/>
            <w:tcBorders/>
            <w:shd w:fill="E5E5E5" w:val="clear"/>
            <w:vAlign w:val="center"/>
          </w:tcPr>
          <w:p>
            <w:pPr>
              <w:pStyle w:val="TableContents"/>
              <w:bidi w:val="0"/>
              <w:spacing w:before="0" w:after="0"/>
              <w:ind w:left="0" w:right="0" w:hanging="0"/>
              <w:jc w:val="left"/>
              <w:rPr/>
            </w:pPr>
            <w:r>
              <w:rPr/>
              <w:t>​</w:t>
            </w:r>
          </w:p>
        </w:tc>
        <w:tc>
          <w:tcPr>
            <w:tcW w:w="590"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0" w:type="dxa"/>
            <w:tcBorders/>
            <w:shd w:fill="E5E5E5" w:val="clear"/>
            <w:vAlign w:val="center"/>
          </w:tcPr>
          <w:p>
            <w:pPr>
              <w:pStyle w:val="TableContents"/>
              <w:bidi w:val="0"/>
              <w:spacing w:before="0" w:after="0"/>
              <w:ind w:left="0" w:right="0" w:hanging="0"/>
              <w:jc w:val="left"/>
              <w:rPr/>
            </w:pPr>
            <w:r>
              <w:rPr/>
              <w:t>​</w:t>
            </w:r>
          </w:p>
        </w:tc>
        <w:tc>
          <w:tcPr>
            <w:tcW w:w="631" w:type="dxa"/>
            <w:tcBorders/>
            <w:shd w:fill="E5E5E5" w:val="clear"/>
            <w:vAlign w:val="center"/>
          </w:tcPr>
          <w:p>
            <w:pPr>
              <w:pStyle w:val="TableContents"/>
              <w:bidi w:val="0"/>
              <w:spacing w:before="0" w:after="0"/>
              <w:ind w:left="0" w:right="0" w:hanging="0"/>
              <w:jc w:val="center"/>
              <w:rPr/>
            </w:pPr>
            <w:r>
              <w:rPr/>
              <w:t>​</w:t>
            </w:r>
          </w:p>
        </w:tc>
      </w:tr>
      <w:tr>
        <w:trPr/>
        <w:tc>
          <w:tcPr>
            <w:tcW w:w="51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Summary</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Compensation</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pPr>
            <w:r>
              <w:rPr/>
              <w:t>​</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Compensation</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Compensation</w:t>
            </w:r>
          </w:p>
        </w:tc>
        <w:tc>
          <w:tcPr>
            <w:tcW w:w="226"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660" w:type="dxa"/>
            <w:tcBorders/>
            <w:shd w:fill="E5E5E5" w:val="clear"/>
            <w:vAlign w:val="center"/>
          </w:tcPr>
          <w:p>
            <w:pPr>
              <w:pStyle w:val="TableContents"/>
              <w:bidi w:val="0"/>
              <w:spacing w:before="0" w:after="0"/>
              <w:ind w:left="0" w:right="0" w:hanging="0"/>
              <w:jc w:val="center"/>
              <w:rPr/>
            </w:pPr>
            <w:r>
              <w:rPr/>
              <w:t>​</w:t>
            </w:r>
          </w:p>
        </w:tc>
        <w:tc>
          <w:tcPr>
            <w:tcW w:w="246" w:type="dxa"/>
            <w:tcBorders/>
            <w:shd w:fill="E5E5E5" w:val="clear"/>
            <w:vAlign w:val="center"/>
          </w:tcPr>
          <w:p>
            <w:pPr>
              <w:pStyle w:val="TableContents"/>
              <w:bidi w:val="0"/>
              <w:spacing w:before="0" w:after="0"/>
              <w:ind w:left="0" w:right="0" w:hanging="0"/>
              <w:jc w:val="left"/>
              <w:rPr/>
            </w:pPr>
            <w:r>
              <w:rPr/>
              <w:t>​</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Peer Group</w:t>
            </w:r>
          </w:p>
        </w:tc>
        <w:tc>
          <w:tcPr>
            <w:tcW w:w="226" w:type="dxa"/>
            <w:tcBorders/>
            <w:shd w:fill="E5E5E5" w:val="clear"/>
            <w:vAlign w:val="center"/>
          </w:tcPr>
          <w:p>
            <w:pPr>
              <w:pStyle w:val="TableContents"/>
              <w:bidi w:val="0"/>
              <w:spacing w:before="0" w:after="0"/>
              <w:ind w:left="0" w:right="0" w:hanging="0"/>
              <w:jc w:val="left"/>
              <w:rPr/>
            </w:pPr>
            <w:r>
              <w:rPr/>
              <w:t>​</w:t>
            </w:r>
          </w:p>
        </w:tc>
        <w:tc>
          <w:tcPr>
            <w:tcW w:w="236" w:type="dxa"/>
            <w:tcBorders/>
            <w:shd w:fill="E5E5E5" w:val="clear"/>
            <w:vAlign w:val="center"/>
          </w:tcPr>
          <w:p>
            <w:pPr>
              <w:pStyle w:val="TableContents"/>
              <w:bidi w:val="0"/>
              <w:spacing w:before="0" w:after="0"/>
              <w:ind w:left="0" w:right="0" w:hanging="0"/>
              <w:jc w:val="left"/>
              <w:rPr/>
            </w:pPr>
            <w:r>
              <w:rPr/>
              <w:t>​</w:t>
            </w:r>
          </w:p>
        </w:tc>
        <w:tc>
          <w:tcPr>
            <w:tcW w:w="590"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210" w:type="dxa"/>
            <w:tcBorders/>
            <w:shd w:fill="E5E5E5" w:val="clear"/>
            <w:vAlign w:val="center"/>
          </w:tcPr>
          <w:p>
            <w:pPr>
              <w:pStyle w:val="TableContents"/>
              <w:bidi w:val="0"/>
              <w:spacing w:before="0" w:after="0"/>
              <w:ind w:left="0" w:right="0" w:hanging="0"/>
              <w:jc w:val="left"/>
              <w:rPr/>
            </w:pPr>
            <w:r>
              <w:rPr/>
              <w:t>​</w:t>
            </w:r>
          </w:p>
        </w:tc>
        <w:tc>
          <w:tcPr>
            <w:tcW w:w="631" w:type="dxa"/>
            <w:tcBorders/>
            <w:shd w:fill="E5E5E5" w:val="clear"/>
            <w:vAlign w:val="center"/>
          </w:tcPr>
          <w:p>
            <w:pPr>
              <w:pStyle w:val="TableContents"/>
              <w:bidi w:val="0"/>
              <w:spacing w:before="0" w:after="0"/>
              <w:ind w:left="0" w:right="0" w:hanging="0"/>
              <w:jc w:val="center"/>
              <w:rPr/>
            </w:pPr>
            <w:r>
              <w:rPr/>
              <w:t>​</w:t>
            </w:r>
          </w:p>
        </w:tc>
      </w:tr>
      <w:tr>
        <w:trPr/>
        <w:tc>
          <w:tcPr>
            <w:tcW w:w="511"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Compensation</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Table Total </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Compensation</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Compensation</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Table Total</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Actually Paid</w:t>
            </w:r>
          </w:p>
        </w:tc>
        <w:tc>
          <w:tcPr>
            <w:tcW w:w="226" w:type="dxa"/>
            <w:tcBorders/>
            <w:shd w:fill="E5E5E5" w:val="clear"/>
            <w:vAlign w:val="center"/>
          </w:tcPr>
          <w:p>
            <w:pPr>
              <w:pStyle w:val="TableContents"/>
              <w:bidi w:val="0"/>
              <w:spacing w:before="0" w:after="0"/>
              <w:ind w:left="0" w:right="0" w:hanging="0"/>
              <w:jc w:val="left"/>
              <w:rPr/>
            </w:pPr>
            <w:r>
              <w:rPr/>
              <w:t>​</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w:t>
            </w:r>
          </w:p>
        </w:tc>
        <w:tc>
          <w:tcPr>
            <w:tcW w:w="246" w:type="dxa"/>
            <w:tcBorders/>
            <w:shd w:fill="E5E5E5" w:val="clear"/>
            <w:vAlign w:val="center"/>
          </w:tcPr>
          <w:p>
            <w:pPr>
              <w:pStyle w:val="TableContents"/>
              <w:bidi w:val="0"/>
              <w:spacing w:before="0" w:after="0"/>
              <w:ind w:left="0" w:right="0" w:hanging="0"/>
              <w:jc w:val="left"/>
              <w:rPr/>
            </w:pPr>
            <w:r>
              <w:rPr/>
              <w:t>​</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Net Income</w:t>
            </w:r>
          </w:p>
        </w:tc>
        <w:tc>
          <w:tcPr>
            <w:tcW w:w="226" w:type="dxa"/>
            <w:tcBorders/>
            <w:shd w:fill="E5E5E5" w:val="clear"/>
            <w:vAlign w:val="center"/>
          </w:tcPr>
          <w:p>
            <w:pPr>
              <w:pStyle w:val="TableContents"/>
              <w:bidi w:val="0"/>
              <w:spacing w:before="0" w:after="0"/>
              <w:ind w:left="0" w:right="0" w:hanging="0"/>
              <w:jc w:val="left"/>
              <w:rPr/>
            </w:pPr>
            <w:r>
              <w:rPr/>
              <w:t>​</w:t>
            </w:r>
          </w:p>
        </w:tc>
        <w:tc>
          <w:tcPr>
            <w:tcW w:w="84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Adjusted</w:t>
            </w:r>
          </w:p>
        </w:tc>
      </w:tr>
      <w:tr>
        <w:trPr/>
        <w:tc>
          <w:tcPr>
            <w:tcW w:w="511" w:type="dxa"/>
            <w:tcBorders/>
            <w:shd w:fill="E5E5E5"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Fiscal</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Table Total</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for Mr. </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Actually Paid to </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Actually Paid to </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non-PEO</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 non-PEO</w:t>
            </w:r>
          </w:p>
        </w:tc>
        <w:tc>
          <w:tcPr>
            <w:tcW w:w="226" w:type="dxa"/>
            <w:tcBorders/>
            <w:shd w:fill="E5E5E5" w:val="clear"/>
            <w:vAlign w:val="center"/>
          </w:tcPr>
          <w:p>
            <w:pPr>
              <w:pStyle w:val="TableContents"/>
              <w:bidi w:val="0"/>
              <w:spacing w:before="0" w:after="0"/>
              <w:ind w:left="0" w:right="0" w:hanging="0"/>
              <w:jc w:val="left"/>
              <w:rPr/>
            </w:pPr>
            <w:r>
              <w:rPr/>
              <w:t>​</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Shareholder</w:t>
            </w:r>
          </w:p>
        </w:tc>
        <w:tc>
          <w:tcPr>
            <w:tcW w:w="246" w:type="dxa"/>
            <w:tcBorders/>
            <w:shd w:fill="E5E5E5" w:val="clear"/>
            <w:vAlign w:val="center"/>
          </w:tcPr>
          <w:p>
            <w:pPr>
              <w:pStyle w:val="TableContents"/>
              <w:bidi w:val="0"/>
              <w:spacing w:before="0" w:after="0"/>
              <w:ind w:left="0" w:right="0" w:hanging="0"/>
              <w:jc w:val="left"/>
              <w:rPr/>
            </w:pPr>
            <w:r>
              <w:rPr/>
              <w:t>​</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Shareholder</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(Loss)</w:t>
            </w:r>
          </w:p>
        </w:tc>
        <w:tc>
          <w:tcPr>
            <w:tcW w:w="226" w:type="dxa"/>
            <w:tcBorders/>
            <w:shd w:fill="E5E5E5" w:val="clear"/>
            <w:vAlign w:val="center"/>
          </w:tcPr>
          <w:p>
            <w:pPr>
              <w:pStyle w:val="TableContents"/>
              <w:bidi w:val="0"/>
              <w:spacing w:before="0" w:after="0"/>
              <w:ind w:left="0" w:right="0" w:hanging="0"/>
              <w:jc w:val="left"/>
              <w:rPr/>
            </w:pPr>
            <w:r>
              <w:rPr/>
              <w:t>​</w:t>
            </w:r>
          </w:p>
        </w:tc>
        <w:tc>
          <w:tcPr>
            <w:tcW w:w="84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EBITDA(5)</w:t>
            </w:r>
          </w:p>
        </w:tc>
      </w:tr>
      <w:tr>
        <w:trPr/>
        <w:tc>
          <w:tcPr>
            <w:tcW w:w="511" w:type="dxa"/>
            <w:tcBorders/>
            <w:shd w:fill="E5E5E5"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Mr. Rossi (1)</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Chowbey (1)</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Mr. Rossi </w:t>
              <w:br/>
              <w:t xml:space="preserve">(1)(2)(3) </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Mr. Chowbey</w:t>
              <w:br/>
              <w:t>(1)(2)(3)</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NEOs(1)</w:t>
            </w:r>
          </w:p>
        </w:tc>
        <w:tc>
          <w:tcPr>
            <w:tcW w:w="226" w:type="dxa"/>
            <w:tcBorders/>
            <w:shd w:fill="E5E5E5" w:val="clear"/>
            <w:vAlign w:val="center"/>
          </w:tcPr>
          <w:p>
            <w:pPr>
              <w:pStyle w:val="TableContents"/>
              <w:bidi w:val="0"/>
              <w:spacing w:before="0" w:after="0"/>
              <w:ind w:left="0" w:right="0" w:hanging="0"/>
              <w:jc w:val="left"/>
              <w:rPr/>
            </w:pPr>
            <w:r>
              <w:rPr/>
              <w:t>​</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NEOs(1)(2)(3)</w:t>
            </w:r>
          </w:p>
        </w:tc>
        <w:tc>
          <w:tcPr>
            <w:tcW w:w="226" w:type="dxa"/>
            <w:tcBorders/>
            <w:shd w:fill="E5E5E5" w:val="clear"/>
            <w:vAlign w:val="center"/>
          </w:tcPr>
          <w:p>
            <w:pPr>
              <w:pStyle w:val="TableContents"/>
              <w:bidi w:val="0"/>
              <w:spacing w:before="0" w:after="0"/>
              <w:ind w:left="0" w:right="0" w:hanging="0"/>
              <w:jc w:val="left"/>
              <w:rPr/>
            </w:pPr>
            <w:r>
              <w:rPr/>
              <w:t>​</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Return</w:t>
            </w:r>
          </w:p>
        </w:tc>
        <w:tc>
          <w:tcPr>
            <w:tcW w:w="246" w:type="dxa"/>
            <w:tcBorders/>
            <w:shd w:fill="E5E5E5" w:val="clear"/>
            <w:vAlign w:val="center"/>
          </w:tcPr>
          <w:p>
            <w:pPr>
              <w:pStyle w:val="TableContents"/>
              <w:bidi w:val="0"/>
              <w:spacing w:before="0" w:after="0"/>
              <w:ind w:left="0" w:right="0" w:hanging="0"/>
              <w:jc w:val="left"/>
              <w:rPr/>
            </w:pPr>
            <w:r>
              <w:rPr/>
              <w:t>​</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Return(4)</w:t>
            </w:r>
          </w:p>
        </w:tc>
        <w:tc>
          <w:tcPr>
            <w:tcW w:w="226" w:type="dxa"/>
            <w:tcBorders/>
            <w:shd w:fill="E5E5E5" w:val="clear"/>
            <w:vAlign w:val="center"/>
          </w:tcPr>
          <w:p>
            <w:pPr>
              <w:pStyle w:val="TableContents"/>
              <w:bidi w:val="0"/>
              <w:spacing w:before="0" w:after="0"/>
              <w:ind w:left="0" w:right="0" w:hanging="0"/>
              <w:jc w:val="left"/>
              <w:rPr/>
            </w:pPr>
            <w:r>
              <w:rPr/>
              <w:t>​</w:t>
            </w:r>
          </w:p>
        </w:tc>
        <w:tc>
          <w:tcPr>
            <w:tcW w:w="82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millions)</w:t>
            </w:r>
          </w:p>
        </w:tc>
        <w:tc>
          <w:tcPr>
            <w:tcW w:w="226" w:type="dxa"/>
            <w:tcBorders/>
            <w:shd w:fill="E5E5E5" w:val="clear"/>
            <w:vAlign w:val="center"/>
          </w:tcPr>
          <w:p>
            <w:pPr>
              <w:pStyle w:val="TableContents"/>
              <w:bidi w:val="0"/>
              <w:spacing w:before="0" w:after="0"/>
              <w:ind w:left="0" w:right="0" w:hanging="0"/>
              <w:jc w:val="left"/>
              <w:rPr/>
            </w:pPr>
            <w:r>
              <w:rPr/>
              <w:t>​</w:t>
            </w:r>
          </w:p>
        </w:tc>
        <w:tc>
          <w:tcPr>
            <w:tcW w:w="84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millions)</w:t>
            </w:r>
          </w:p>
        </w:tc>
      </w:tr>
      <w:tr>
        <w:trPr/>
        <w:tc>
          <w:tcPr>
            <w:tcW w:w="511" w:type="dxa"/>
            <w:tcBorders/>
            <w:shd w:fill="E5E5E5"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(a)</w:t>
            </w:r>
          </w:p>
        </w:tc>
        <w:tc>
          <w:tcPr>
            <w:tcW w:w="226" w:type="dxa"/>
            <w:tcBorders/>
            <w:shd w:fill="E5E5E5" w:val="clear"/>
            <w:vAlign w:val="center"/>
          </w:tcPr>
          <w:p>
            <w:pPr>
              <w:pStyle w:val="TableContents"/>
              <w:bidi w:val="0"/>
              <w:spacing w:before="0" w:after="0"/>
              <w:ind w:left="0" w:right="0" w:hanging="0"/>
              <w:jc w:val="left"/>
              <w:rPr/>
            </w:pPr>
            <w:r>
              <w:rPr/>
              <w:t>  ​</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(b)</w:t>
            </w:r>
          </w:p>
        </w:tc>
        <w:tc>
          <w:tcPr>
            <w:tcW w:w="226" w:type="dxa"/>
            <w:tcBorders/>
            <w:shd w:fill="E5E5E5" w:val="clear"/>
            <w:vAlign w:val="center"/>
          </w:tcPr>
          <w:p>
            <w:pPr>
              <w:pStyle w:val="TableContents"/>
              <w:bidi w:val="0"/>
              <w:spacing w:before="0" w:after="0"/>
              <w:ind w:left="0" w:right="0" w:hanging="0"/>
              <w:jc w:val="left"/>
              <w:rPr/>
            </w:pPr>
            <w:r>
              <w:rPr/>
              <w:t>  ​</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(b)</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w:t>
            </w:r>
          </w:p>
        </w:tc>
        <w:tc>
          <w:tcPr>
            <w:tcW w:w="109" w:type="dxa"/>
            <w:tcBorders/>
            <w:shd w:fill="E5E5E5" w:val="clear"/>
            <w:vAlign w:val="center"/>
          </w:tcPr>
          <w:p>
            <w:pPr>
              <w:pStyle w:val="TableContents"/>
              <w:bidi w:val="0"/>
              <w:spacing w:before="0" w:after="0"/>
              <w:ind w:left="0" w:right="0" w:hanging="0"/>
              <w:jc w:val="center"/>
              <w:rPr/>
            </w:pPr>
            <w:r>
              <w:rPr/>
              <w:t>​</w:t>
            </w:r>
          </w:p>
        </w:tc>
        <w:tc>
          <w:tcPr>
            <w:tcW w:w="181" w:type="dxa"/>
            <w:tcBorders/>
            <w:shd w:fill="E5E5E5" w:val="clear"/>
            <w:vAlign w:val="center"/>
          </w:tcPr>
          <w:p>
            <w:pPr>
              <w:pStyle w:val="TableContents"/>
              <w:bidi w:val="0"/>
              <w:spacing w:before="0" w:after="0"/>
              <w:ind w:left="0" w:right="0" w:hanging="0"/>
              <w:jc w:val="center"/>
              <w:rPr/>
            </w:pPr>
            <w:r>
              <w:rPr/>
              <w:t>​</w:t>
            </w:r>
          </w:p>
        </w:tc>
        <w:tc>
          <w:tcPr>
            <w:tcW w:w="1006" w:type="dxa"/>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w:t>
            </w:r>
          </w:p>
        </w:tc>
        <w:tc>
          <w:tcPr>
            <w:tcW w:w="226" w:type="dxa"/>
            <w:tcBorders/>
            <w:shd w:fill="E5E5E5" w:val="clear"/>
            <w:vAlign w:val="center"/>
          </w:tcPr>
          <w:p>
            <w:pPr>
              <w:pStyle w:val="TableContents"/>
              <w:bidi w:val="0"/>
              <w:spacing w:before="0" w:after="0"/>
              <w:ind w:left="0" w:right="0" w:hanging="0"/>
              <w:jc w:val="left"/>
              <w:rPr/>
            </w:pPr>
            <w:r>
              <w:rPr/>
              <w:t>  ​</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w:t>
            </w:r>
          </w:p>
        </w:tc>
        <w:tc>
          <w:tcPr>
            <w:tcW w:w="226" w:type="dxa"/>
            <w:tcBorders/>
            <w:shd w:fill="E5E5E5" w:val="clear"/>
            <w:vAlign w:val="center"/>
          </w:tcPr>
          <w:p>
            <w:pPr>
              <w:pStyle w:val="TableContents"/>
              <w:bidi w:val="0"/>
              <w:spacing w:before="0" w:after="0"/>
              <w:ind w:left="0" w:right="0" w:hanging="0"/>
              <w:jc w:val="left"/>
              <w:rPr/>
            </w:pPr>
            <w:r>
              <w:rPr/>
              <w:t>  ​</w:t>
            </w:r>
          </w:p>
        </w:tc>
        <w:tc>
          <w:tcPr>
            <w:tcW w:w="100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w:t>
            </w:r>
          </w:p>
        </w:tc>
        <w:tc>
          <w:tcPr>
            <w:tcW w:w="226" w:type="dxa"/>
            <w:tcBorders/>
            <w:shd w:fill="E5E5E5" w:val="clear"/>
            <w:vAlign w:val="center"/>
          </w:tcPr>
          <w:p>
            <w:pPr>
              <w:pStyle w:val="TableContents"/>
              <w:bidi w:val="0"/>
              <w:spacing w:before="0" w:after="0"/>
              <w:ind w:left="0" w:right="0" w:hanging="0"/>
              <w:jc w:val="left"/>
              <w:rPr/>
            </w:pPr>
            <w:r>
              <w:rPr/>
              <w:t>  ​</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w:t>
            </w:r>
          </w:p>
        </w:tc>
        <w:tc>
          <w:tcPr>
            <w:tcW w:w="246" w:type="dxa"/>
            <w:tcBorders/>
            <w:shd w:fill="E5E5E5" w:val="clear"/>
            <w:vAlign w:val="center"/>
          </w:tcPr>
          <w:p>
            <w:pPr>
              <w:pStyle w:val="TableContents"/>
              <w:bidi w:val="0"/>
              <w:spacing w:before="0" w:after="0"/>
              <w:ind w:left="0" w:right="0" w:hanging="0"/>
              <w:jc w:val="left"/>
              <w:rPr/>
            </w:pPr>
            <w:r>
              <w:rPr/>
              <w:t>  ​</w:t>
            </w:r>
          </w:p>
        </w:tc>
        <w:tc>
          <w:tcPr>
            <w:tcW w:w="88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(g)</w:t>
            </w:r>
          </w:p>
        </w:tc>
        <w:tc>
          <w:tcPr>
            <w:tcW w:w="226" w:type="dxa"/>
            <w:tcBorders/>
            <w:shd w:fill="E5E5E5" w:val="clear"/>
            <w:vAlign w:val="center"/>
          </w:tcPr>
          <w:p>
            <w:pPr>
              <w:pStyle w:val="TableContents"/>
              <w:bidi w:val="0"/>
              <w:spacing w:before="0" w:after="0"/>
              <w:ind w:left="0" w:right="0" w:hanging="0"/>
              <w:jc w:val="left"/>
              <w:rPr/>
            </w:pPr>
            <w:r>
              <w:rPr/>
              <w:t>  ​</w:t>
            </w:r>
          </w:p>
        </w:tc>
        <w:tc>
          <w:tcPr>
            <w:tcW w:w="826"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(h)</w:t>
            </w:r>
          </w:p>
        </w:tc>
        <w:tc>
          <w:tcPr>
            <w:tcW w:w="226" w:type="dxa"/>
            <w:tcBorders/>
            <w:shd w:fill="E5E5E5" w:val="clear"/>
            <w:vAlign w:val="center"/>
          </w:tcPr>
          <w:p>
            <w:pPr>
              <w:pStyle w:val="TableContents"/>
              <w:bidi w:val="0"/>
              <w:spacing w:before="0" w:after="0"/>
              <w:ind w:left="0" w:right="0" w:hanging="0"/>
              <w:jc w:val="left"/>
              <w:rPr/>
            </w:pPr>
            <w:r>
              <w:rPr/>
              <w:t>  ​</w:t>
            </w:r>
          </w:p>
        </w:tc>
        <w:tc>
          <w:tcPr>
            <w:tcW w:w="84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w:t>
            </w:r>
          </w:p>
        </w:tc>
      </w:tr>
      <w:tr>
        <w:trPr/>
        <w:tc>
          <w:tcPr>
            <w:tcW w:w="51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2026</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7,356,246</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13,422,778</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2,239,624</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3,682,722</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112.91</w:t>
            </w:r>
          </w:p>
        </w:tc>
        <w:tc>
          <w:tcPr>
            <w:tcW w:w="2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240.49</w:t>
            </w:r>
          </w:p>
        </w:tc>
        <w:tc>
          <w:tcPr>
            <w:tcW w:w="2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9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350.4</w:t>
            </w:r>
          </w:p>
        </w:tc>
        <w:tc>
          <w:tcPr>
            <w:tcW w:w="2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634.0</w:t>
            </w:r>
          </w:p>
        </w:tc>
      </w:tr>
      <w:tr>
        <w:trPr/>
        <w:tc>
          <w:tcPr>
            <w:tcW w:w="51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2025</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4,694,633</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0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4,421,080</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1,532,141</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1,294,523</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71.97</w:t>
            </w:r>
          </w:p>
        </w:tc>
        <w:tc>
          <w:tcPr>
            <w:tcW w:w="2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163.81</w:t>
            </w:r>
          </w:p>
        </w:tc>
        <w:tc>
          <w:tcPr>
            <w:tcW w:w="2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9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98.7</w:t>
            </w:r>
          </w:p>
        </w:tc>
        <w:tc>
          <w:tcPr>
            <w:tcW w:w="2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299.5</w:t>
            </w:r>
          </w:p>
        </w:tc>
      </w:tr>
      <w:tr>
        <w:trPr/>
        <w:tc>
          <w:tcPr>
            <w:tcW w:w="51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6,399,926</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1,794,097</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4,127,786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1,338,821</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1,375,327</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1,072,413</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71.39</w:t>
            </w:r>
          </w:p>
        </w:tc>
        <w:tc>
          <w:tcPr>
            <w:tcW w:w="2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142.32</w:t>
            </w:r>
          </w:p>
        </w:tc>
        <w:tc>
          <w:tcPr>
            <w:tcW w:w="2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9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109.3</w:t>
            </w:r>
          </w:p>
        </w:tc>
        <w:tc>
          <w:tcPr>
            <w:tcW w:w="2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312.5</w:t>
            </w:r>
          </w:p>
        </w:tc>
      </w:tr>
      <w:tr>
        <w:trPr/>
        <w:tc>
          <w:tcPr>
            <w:tcW w:w="51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2023</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6,729,013</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8,519,849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100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1,361,854</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1,609,461</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83.44</w:t>
            </w:r>
          </w:p>
        </w:tc>
        <w:tc>
          <w:tcPr>
            <w:tcW w:w="2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119.91</w:t>
            </w:r>
          </w:p>
        </w:tc>
        <w:tc>
          <w:tcPr>
            <w:tcW w:w="2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9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118.5</w:t>
            </w:r>
          </w:p>
        </w:tc>
        <w:tc>
          <w:tcPr>
            <w:tcW w:w="2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323.0</w:t>
            </w:r>
          </w:p>
        </w:tc>
      </w:tr>
      <w:tr>
        <w:trPr/>
        <w:tc>
          <w:tcPr>
            <w:tcW w:w="5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6,131,892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10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0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2,368,850</w:t>
            </w:r>
          </w:p>
        </w:tc>
        <w:tc>
          <w:tcPr>
            <w:tcW w:w="109"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1006" w:type="dxa"/>
            <w:tcBorders>
              <w:bottom w:val="single" w:sz="2" w:space="0" w:color="7F7F7F"/>
            </w:tcBorders>
            <w:tcMar>
              <w:bottom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1,464,994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576,965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0"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66.26</w:t>
            </w:r>
          </w:p>
        </w:tc>
        <w:tc>
          <w:tcPr>
            <w:tcW w:w="2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2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81.95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90"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31" w:type="dxa"/>
            <w:tcBorders>
              <w:bottom w:val="single" w:sz="2" w:space="0" w:color="7F7F7F"/>
            </w:tcBorders>
            <w:tcMar>
              <w:bottom w:w="28" w:type="dxa"/>
            </w:tcMar>
            <w:vAlign w:val="center"/>
          </w:tcPr>
          <w:p>
            <w:pPr>
              <w:pStyle w:val="TableContents"/>
              <w:bidi w:val="0"/>
              <w:spacing w:before="0" w:after="0"/>
              <w:ind w:left="0" w:right="45" w:hanging="0"/>
              <w:jc w:val="right"/>
              <w:rPr>
                <w:rFonts w:ascii="Arial;Helvetica;sans-serif" w:hAnsi="Arial;Helvetica;sans-serif"/>
                <w:sz w:val="14"/>
              </w:rPr>
            </w:pPr>
            <w:r>
              <w:rPr>
                <w:rFonts w:ascii="Arial;Helvetica;sans-serif" w:hAnsi="Arial;Helvetica;sans-serif"/>
                <w:sz w:val="14"/>
              </w:rPr>
              <w:t>364.0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Mr. Chowbey</w:t>
            </w:r>
            <w:r>
              <w:rPr>
                <w:caps w:val="false"/>
                <w:smallCaps w:val="false"/>
              </w:rPr>
              <w:t xml:space="preserve"> </w:t>
            </w:r>
            <w:r>
              <w:rPr>
                <w:rFonts w:ascii="Arial;Helvetica;sans-serif" w:hAnsi="Arial;Helvetica;sans-serif"/>
                <w:b w:val="false"/>
                <w:i w:val="false"/>
                <w:caps w:val="false"/>
                <w:smallCaps w:val="false"/>
                <w:sz w:val="20"/>
              </w:rPr>
              <w:t>served as our principal executive officer (PEO) beginning on June 1, 2024. Mr. Rossi</w:t>
            </w:r>
            <w:r>
              <w:rPr>
                <w:caps w:val="false"/>
                <w:smallCaps w:val="false"/>
              </w:rPr>
              <w:t xml:space="preserve"> </w:t>
            </w:r>
            <w:r>
              <w:rPr>
                <w:rFonts w:ascii="Arial;Helvetica;sans-serif" w:hAnsi="Arial;Helvetica;sans-serif"/>
                <w:b w:val="false"/>
                <w:i w:val="false"/>
                <w:caps w:val="false"/>
                <w:smallCaps w:val="false"/>
                <w:sz w:val="20"/>
              </w:rPr>
              <w:t>served as our (PEO) for 2022 through May 31, 2024. Our non-PEO named executive officers (NEOs) included: (a) for fiscal year 2026, Messrs. Watson, Bersaglini, and Hamadi, and Ms. Keating, (b) for fiscal year 2025, Messrs. Watson, Bersaglini, Hamadi, and Cardenas, and Ms. Keating, (c) for fiscal year 2024, Messrs. Watson and Cardenas, and Mses. Bacchus and Keating; (d) for fiscal year 2023, Messrs. Watson, Chowbey, Cardenas, and Ms. Keating; (e) for fiscal year 2022, Messrs. Audia, Chowbey, Watson, Cardenas, and Ms. Bacchus.</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amounts were deducted from / added to Summary Compensation Table (SCT) total compensation in accordance with the SEC-mandated adjustments to calculate Compensation Actually Paid (CAP) to our principal executive officers (PEO) and average CAP to our non-PEO named executive officers. The fair value of equity awards was determined using methodologies and assumptions developed in a manner substantively consistent with those used to determine the grant date fair value of such awards.</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79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4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30" descr=""/>
                    <pic:cNvPicPr>
                      <a:picLocks noChangeAspect="1" noChangeArrowheads="1"/>
                    </pic:cNvPicPr>
                  </pic:nvPicPr>
                  <pic:blipFill>
                    <a:blip r:embed="rId131"/>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PAY VERSUS PERFORMANCE (“PVP”)</w:t>
      </w:r>
    </w:p>
    <w:p>
      <w:pPr>
        <w:pStyle w:val="TextBody"/>
        <w:bidi w:val="0"/>
        <w:spacing w:before="0" w:after="0"/>
        <w:ind w:left="0" w:right="0" w:hanging="0"/>
        <w:jc w:val="left"/>
        <w:rPr>
          <w:rFonts w:ascii="Arial;Helvetica;sans-serif" w:hAnsi="Arial;Helvetica;sans-serif"/>
          <w:sz w:val="20"/>
        </w:rPr>
      </w:pPr>
      <w:bookmarkStart w:id="197" w:name="Tc_5PaJLfb0vECtHFfHQVR2vg_27_15"/>
      <w:bookmarkStart w:id="198" w:name="Tc_wJxlgo1oXkSyMmM8Hrgbqw_27_14"/>
      <w:bookmarkStart w:id="199" w:name="Tc_XkBU2nQxd0-yxkdY5Z1BIw_27_12"/>
      <w:bookmarkStart w:id="200" w:name="Tc_5hQMZ6yDjUOcSjpSv5EK7g_27_11"/>
      <w:bookmarkStart w:id="201" w:name="Tc_8gudulnwxEGVQSTCRNHxTg_27_8"/>
      <w:bookmarkStart w:id="202" w:name="Tc_2w37Aed5RU6BCX2NJ_FWhQ_27_5"/>
      <w:bookmarkStart w:id="203" w:name="Tc_WaoKnBZvCUyka6EXiTsVjA_27_2"/>
      <w:bookmarkStart w:id="204" w:name="Tc_NTWXTU6-ZEmXEcwr_6ipeA_27_0"/>
      <w:bookmarkStart w:id="205" w:name="Tc_MPlEYMsMNE60GV3DVFrR9g_25_15"/>
      <w:bookmarkStart w:id="206" w:name="Tc_95SqqX06FkWORt9hn8dQPA_25_14"/>
      <w:bookmarkStart w:id="207" w:name="Tc_2ZfZ1FvXVkS6VCZ3L4L8AQ_25_12"/>
      <w:bookmarkStart w:id="208" w:name="Tc_D-2_IZidD0OFFvSGwLEbTA_25_11"/>
      <w:bookmarkStart w:id="209" w:name="Tc_61m_r80c9kKyd-DWb3lWiA_25_8"/>
      <w:bookmarkStart w:id="210" w:name="Tc__URA7AkFXEiGl55QtQ2CNg_25_5"/>
      <w:bookmarkStart w:id="211" w:name="Tc_rgQ_QiL7gkC-LRAnlAIPqQ_25_2"/>
      <w:bookmarkStart w:id="212" w:name="Tc_40ScHSkMJES7MONlY5URVQ_25_0"/>
      <w:bookmarkStart w:id="213" w:name="Tc_tTev4LszNEOiM12n4o-UiA_22_15"/>
      <w:bookmarkStart w:id="214" w:name="Tc_nvCsI07gTUiK919S8JzY8w_22_14"/>
      <w:bookmarkStart w:id="215" w:name="Tc_Q11Uq9pJikqd2rwFrKoLlw_22_12"/>
      <w:bookmarkStart w:id="216" w:name="Tc_iyJ-PGMRX02_Fcv-Av_dSw_22_11"/>
      <w:bookmarkStart w:id="217" w:name="Tc_tDcdfwM68EulQEQ_QnXl4w_22_9"/>
      <w:bookmarkStart w:id="218" w:name="Tc_QS2-5jftRE2pbVhSQmYmhg_22_8"/>
      <w:bookmarkStart w:id="219" w:name="Tc_iNaqyTTo3E201z5_5LBaDg_22_6"/>
      <w:bookmarkStart w:id="220" w:name="Tc_pozOGEqFOUW0K2kVnNGNrw_22_5"/>
      <w:bookmarkStart w:id="221" w:name="Tc_VYc8xgrrRUyP-FwjBZhB4g_22_2"/>
      <w:bookmarkStart w:id="222" w:name="Tc_i6njxdFJJUCx_Gm7bhLGzQ_22_0"/>
      <w:bookmarkStart w:id="223" w:name="Tc__XeBPxIJzE2eVM0Ngt8WVw_19_15"/>
      <w:bookmarkStart w:id="224" w:name="Tc_JbE7T62F_keuEseDjaLeNQ_19_14"/>
      <w:bookmarkStart w:id="225" w:name="Tc_9e2PCf-Sckuhtjck-Jt0bA_19_12"/>
      <w:bookmarkStart w:id="226" w:name="Tc_E-RFsZ0QdUeR9xcnpZRmNQ_19_11"/>
      <w:bookmarkStart w:id="227" w:name="Tc_BstLZh6VBk2Lglog3P2j8A_19_8"/>
      <w:bookmarkStart w:id="228" w:name="Tc_o6BSdYvrj0S0NyzDEhSzVA_19_5"/>
      <w:bookmarkStart w:id="229" w:name="Tc_Elvixk7-okmw6cJhtXY6gg_19_2"/>
      <w:bookmarkStart w:id="230" w:name="Tc_vTJY1S13k0-Y8IS4eR2U1Q_19_0"/>
      <w:bookmarkStart w:id="231" w:name="Tc_qJsEV3ktDk2A7SzaUD0ubg_16_15"/>
      <w:bookmarkStart w:id="232" w:name="Tc_i-6JrVoCr0-Tfl9Cxu78Vw_16_14"/>
      <w:bookmarkStart w:id="233" w:name="Tc_FXa3dGh7X0GAU794GkbS8g_16_12"/>
      <w:bookmarkStart w:id="234" w:name="Tc_tLICgedWM0qpm5HeTNqKPA_16_11"/>
      <w:bookmarkStart w:id="235" w:name="Tc_FjXDtczIBUC2jXJRvTwpZg_16_8"/>
      <w:bookmarkStart w:id="236" w:name="Tc_dYNlL4rSHU-FTCo_wlZFmA_16_6"/>
      <w:bookmarkStart w:id="237" w:name="Tc_S9Mqy_lfjkqsfVnN3TUxZw_16_5"/>
      <w:bookmarkStart w:id="238" w:name="Tc_IpX1QtMa3ECw_sws9K65DQ_16_3"/>
      <w:bookmarkStart w:id="239" w:name="Tc_mBZkzR9pX06WIgTP4eMI_g_16_2"/>
      <w:bookmarkStart w:id="240" w:name="Tc_Z-66cMfu106h_6K8_aGV5g_16_0"/>
      <w:bookmarkStart w:id="241" w:name="Tc_mF_xajijnkGCEcRpNzSEaA_13_15"/>
      <w:bookmarkStart w:id="242" w:name="Tc_HOjT5DtyOkOpVUG0zOTrJg_13_14"/>
      <w:bookmarkStart w:id="243" w:name="Tc_e2nprnbjBUWGpa_OTGoHWQ_13_12"/>
      <w:bookmarkStart w:id="244" w:name="Tc_jglNWG4T2ku08jmZyEY0cg_13_11"/>
      <w:bookmarkStart w:id="245" w:name="Tc_pnjnToZ7bkenCW1Gb-obwA_13_8"/>
      <w:bookmarkStart w:id="246" w:name="Tc_DMEfUOjhT0KoGz3LIDbSoA_13_5"/>
      <w:bookmarkStart w:id="247" w:name="Tc_kY7TqVMRoEKPo2TQMNPc3g_13_2"/>
      <w:bookmarkStart w:id="248" w:name="Tc_VjjMXvDdOkOsUkcYtuMIbw_13_0"/>
      <w:bookmarkStart w:id="249" w:name="Tc_YCEC5KTBV0O0NISbVsKnsw_12_15"/>
      <w:bookmarkStart w:id="250" w:name="Tc_8c8o_mzQOkeIC045yEbmKQ_12_12"/>
      <w:bookmarkStart w:id="251" w:name="Tc_cbqp4EIbvEGzjlcSMIfbHQ_10_15"/>
      <w:bookmarkStart w:id="252" w:name="Tc_Lom7VuLKeE6LHRBE7jdaBg_10_14"/>
      <w:bookmarkStart w:id="253" w:name="Tc_oQ_5fO5EvES3CZoKVNXbuQ_10_12"/>
      <w:bookmarkStart w:id="254" w:name="Tc_QZHpKoV0wE6GPip_wGlX-w_10_11"/>
      <w:bookmarkStart w:id="255" w:name="Tc_Lt83nW3aoEyzil4lRMjljw_10_8"/>
      <w:bookmarkStart w:id="256" w:name="Tc_zUKbwhbmv0a71T9Btz5KLg_10_5"/>
      <w:bookmarkStart w:id="257" w:name="Tc_YSr5J2oGOE-54cMLn7BhVQ_10_2"/>
      <w:bookmarkStart w:id="258" w:name="Tc_Ft4svnsQFUKqzsLpLWtdiA_10_0"/>
      <w:bookmarkStart w:id="259" w:name="Tc_iP3QJS4g9U61nubIzRm5OA_8_15"/>
      <w:bookmarkStart w:id="260" w:name="Tc_P68O43iwkEq8D6AKKoNdjA_8_14"/>
      <w:bookmarkStart w:id="261" w:name="Tc_36f2JU3f7kGnxVp10TI_pA_8_12"/>
      <w:bookmarkStart w:id="262" w:name="Tc_54eUFU0PeEiG0aqoac9bVw_8_11"/>
      <w:bookmarkStart w:id="263" w:name="Tc_rXKiKc5M0UCx13t8etXdHA_8_8"/>
      <w:bookmarkStart w:id="264" w:name="Tc_b-SZ17_NA0i0JpxJKg6lAQ_8_5"/>
      <w:bookmarkStart w:id="265" w:name="Tc_E-_pCG_dWUCI3a4F05j_ng_8_2"/>
      <w:bookmarkStart w:id="266" w:name="Tc_Ydi4BdT920O2_76zEwfkiA_8_0"/>
      <w:bookmarkStart w:id="267" w:name="Tc_BxWQLW7vAkqi8jV0XNM_Hg_7_15"/>
      <w:bookmarkStart w:id="268" w:name="Tc_2fiyIS9X8EmGOcj_fB18Fg_7_14"/>
      <w:bookmarkStart w:id="269" w:name="Tc_zyKodML7pEK1YXgvnX3gDw_7_12"/>
      <w:bookmarkStart w:id="270" w:name="Tc_t_bAF-ZpGkeWkwbLW8OSlw_7_11"/>
      <w:bookmarkStart w:id="271" w:name="Tc_z2eMhznGl0KVO2XRTEyDyw_7_9"/>
      <w:bookmarkStart w:id="272" w:name="Tc_bd0kMIhI1EySdf6icivJ7Q_7_8"/>
      <w:bookmarkStart w:id="273" w:name="Tc_e27URXtbFUKnxIWBC1htvQ_7_6"/>
      <w:bookmarkStart w:id="274" w:name="Tc_VkyKzqpHdEa0CfnxzUi-EQ_7_5"/>
      <w:bookmarkStart w:id="275" w:name="Tc_KVjy_eey6Eya2VSLpi1-Vw_7_3"/>
      <w:bookmarkStart w:id="276" w:name="Tc_YHkKsfpK7EeSHAZCBu_kCQ_7_2"/>
      <w:bookmarkStart w:id="277" w:name="Tc_UXd-VBPtE0Sj5FE8icXjew_7_0"/>
      <w:bookmarkStart w:id="278" w:name="Tc_L0OYcnSKc06cw5s9pIKuxw_6_15"/>
      <w:bookmarkStart w:id="279" w:name="Tc_DLa1Db9mZkaegy-mufajxQ_6_14"/>
      <w:bookmarkStart w:id="280" w:name="Tc_BSbPEu40j0-bT6Ze9PEBWw_6_12"/>
      <w:bookmarkStart w:id="281" w:name="Tc_C7vfAHHQ_02tNniXkF72cw_6_11"/>
      <w:bookmarkStart w:id="282" w:name="Tc_KPcOmL6u2EiPQSNvH9vLaw_6_9"/>
      <w:bookmarkStart w:id="283" w:name="Tc_Cr0DGT7IwEqaflkXaitidw_6_8"/>
      <w:bookmarkStart w:id="284" w:name="Tc_a40mxfLnMUCMtmmnn8sQPw_6_6"/>
      <w:bookmarkStart w:id="285" w:name="Tc_m2bx24_oh0ePjdELaoeSFA_6_5"/>
      <w:bookmarkStart w:id="286" w:name="Tc_PaPF8_PwRUWaBIRwIVt51w_6_3"/>
      <w:bookmarkStart w:id="287" w:name="Tc_FNnXnQGCXkS3LOFzfqPYDw_6_2"/>
      <w:bookmarkStart w:id="288" w:name="Tc_SwsG9pejPECT1Z77dHN3ZQ_6_0"/>
      <w:bookmarkStart w:id="289" w:name="Tc_4JA5a1zMgEKsuNsdDCLj5A_4_15"/>
      <w:bookmarkStart w:id="290" w:name="Tc_9RBbUAUaEku6RZtwaNE0Aw_4_14"/>
      <w:bookmarkStart w:id="291" w:name="Tc_lZX7VhFWkEuhVPZ-U0zC-Q_4_12"/>
      <w:bookmarkStart w:id="292" w:name="Tc_-1QuId06rk-AMhsaWlW7mA_4_11"/>
      <w:bookmarkStart w:id="293" w:name="Tc_lVVaDQMS7UOVnU9bmiBwZw_4_9"/>
      <w:bookmarkStart w:id="294" w:name="Tc_VKxsx99nV0SLt5vnXmK-YQ_4_8"/>
      <w:bookmarkStart w:id="295" w:name="Tc_7RMo2DnmjEGsJ6xQnjVyxg_4_6"/>
      <w:bookmarkStart w:id="296" w:name="Tc_PAIxymh3akGwUmLuJfNNTw_4_5"/>
      <w:bookmarkStart w:id="297" w:name="Tc_yXAikdaMQkirAfDzbnRiGA_4_3"/>
      <w:bookmarkStart w:id="298" w:name="Tc_H43nYgd1uUqX7VSZRfQgCw_4_2"/>
      <w:bookmarkStart w:id="299" w:name="Tc_irMzliDxSUu87t0Zee34uQ_4_0"/>
      <w:bookmarkStart w:id="300" w:name="Tc_JoUvxJ3i0kiXBPc6pM8zLA_2_15"/>
      <w:bookmarkStart w:id="301" w:name="Tc_En9auF35h0WHDtBjZJkVEg_2_14"/>
      <w:bookmarkStart w:id="302" w:name="Tc_0CF9cCWO6E2cfBkD6N2kMQ_2_12"/>
      <w:bookmarkStart w:id="303" w:name="Tc_ZFvERofla0i3dDiyfYxNKA_2_11"/>
      <w:bookmarkStart w:id="304" w:name="Tc_QeC7ROvjYEGB3l5hEI6olg_2_8"/>
      <w:bookmarkStart w:id="305" w:name="Tc_q3K62H09wkaMcRyyZkEZhg_2_5"/>
      <w:bookmarkStart w:id="306" w:name="Tc_-PBm2QFRJkasjAGRsAoCMw_2_2"/>
      <w:bookmarkStart w:id="307" w:name="Tc_inwwg5yO1Ui37vVS0FLZMg_2_0"/>
      <w:bookmarkStart w:id="308" w:name="Tc_mVwcp9_QTkO5AJ8_-d2Wcw_1_14"/>
      <w:bookmarkStart w:id="309" w:name="Tc_l4S7X1hKRUGSlvXqmATVCw_1_11"/>
      <w:bookmarkStart w:id="310" w:name="Tc_uqwiWG-xvkiyykbc-WzS5Q_1_8"/>
      <w:bookmarkStart w:id="311" w:name="Tc_AgP8yzg8fE6-x-AdzqVUeg_1_5"/>
      <w:bookmarkStart w:id="312" w:name="Tc_7doQQg6JkEyiLim4OapzpA_1_2"/>
      <w:bookmarkStart w:id="313" w:name="Tc_tQAB-hwDFECJG8qTlopcvw_1_0"/>
      <w:bookmarkStart w:id="314" w:name="_eba5b2c7_c748_466e_9361_87512bd445e5"/>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Pr>
          <w:rFonts w:ascii="Arial;Helvetica;sans-serif" w:hAnsi="Arial;Helvetica;sans-serif"/>
          <w:sz w:val="20"/>
        </w:rPr>
        <w:t>Mr. Rossi SCT Total to CAP Reconciliation</w:t>
      </w:r>
    </w:p>
    <w:p>
      <w:pPr>
        <w:pStyle w:val="TextBody"/>
        <w:bidi w:val="0"/>
        <w:spacing w:lineRule="auto" w:line="302" w:before="0" w:after="0"/>
        <w:ind w:left="0" w:right="270" w:hanging="0"/>
        <w:jc w:val="left"/>
        <w:rPr/>
      </w:pPr>
      <w:r>
        <w:rPr/>
        <w:t>​</w:t>
      </w:r>
    </w:p>
    <w:tbl>
      <w:tblPr>
        <w:tblW w:w="10205" w:type="dxa"/>
        <w:jc w:val="left"/>
        <w:tblInd w:w="0" w:type="dxa"/>
        <w:tblLayout w:type="fixed"/>
        <w:tblCellMar>
          <w:top w:w="0" w:type="dxa"/>
          <w:left w:w="0" w:type="dxa"/>
          <w:bottom w:w="0" w:type="dxa"/>
          <w:right w:w="0" w:type="dxa"/>
        </w:tblCellMar>
      </w:tblPr>
      <w:tblGrid>
        <w:gridCol w:w="3533"/>
        <w:gridCol w:w="346"/>
        <w:gridCol w:w="211"/>
        <w:gridCol w:w="1029"/>
        <w:gridCol w:w="346"/>
        <w:gridCol w:w="211"/>
        <w:gridCol w:w="1029"/>
        <w:gridCol w:w="346"/>
        <w:gridCol w:w="211"/>
        <w:gridCol w:w="1029"/>
        <w:gridCol w:w="346"/>
        <w:gridCol w:w="211"/>
        <w:gridCol w:w="346"/>
        <w:gridCol w:w="346"/>
        <w:gridCol w:w="211"/>
        <w:gridCol w:w="454"/>
      </w:tblGrid>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r>
      <w:tr>
        <w:trPr/>
        <w:tc>
          <w:tcPr>
            <w:tcW w:w="3533"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Fiscal Year</w:t>
            </w:r>
          </w:p>
        </w:tc>
        <w:tc>
          <w:tcPr>
            <w:tcW w:w="346" w:type="dxa"/>
            <w:tcBorders/>
            <w:shd w:fill="E5E5E5" w:val="clear"/>
            <w:vAlign w:val="center"/>
          </w:tcPr>
          <w:p>
            <w:pPr>
              <w:pStyle w:val="TableContents"/>
              <w:bidi w:val="0"/>
              <w:spacing w:before="0" w:after="0"/>
              <w:ind w:left="0" w:right="0" w:hanging="0"/>
              <w:jc w:val="left"/>
              <w:rPr/>
            </w:pPr>
            <w:r>
              <w:rPr/>
              <w:t>  ​ ​ ​</w:t>
            </w:r>
          </w:p>
        </w:tc>
        <w:tc>
          <w:tcPr>
            <w:tcW w:w="1240"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46" w:type="dxa"/>
            <w:tcBorders/>
            <w:shd w:fill="E5E5E5" w:val="clear"/>
            <w:vAlign w:val="center"/>
          </w:tcPr>
          <w:p>
            <w:pPr>
              <w:pStyle w:val="TableContents"/>
              <w:bidi w:val="0"/>
              <w:spacing w:before="0" w:after="0"/>
              <w:ind w:left="0" w:right="0" w:hanging="0"/>
              <w:jc w:val="left"/>
              <w:rPr/>
            </w:pPr>
            <w:r>
              <w:rPr/>
              <w:t>  ​ ​ ​</w:t>
            </w:r>
          </w:p>
        </w:tc>
        <w:tc>
          <w:tcPr>
            <w:tcW w:w="1240"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46" w:type="dxa"/>
            <w:tcBorders/>
            <w:shd w:fill="E5E5E5" w:val="clear"/>
            <w:vAlign w:val="center"/>
          </w:tcPr>
          <w:p>
            <w:pPr>
              <w:pStyle w:val="TableContents"/>
              <w:bidi w:val="0"/>
              <w:spacing w:before="0" w:after="0"/>
              <w:ind w:left="0" w:right="0" w:hanging="0"/>
              <w:jc w:val="center"/>
              <w:rPr/>
            </w:pPr>
            <w:r>
              <w:rPr/>
              <w:t>  ​ ​ ​</w:t>
            </w:r>
          </w:p>
        </w:tc>
        <w:tc>
          <w:tcPr>
            <w:tcW w:w="1240"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shd w:fill="E5E5E5" w:val="clear"/>
            <w:vAlign w:val="center"/>
          </w:tcPr>
          <w:p>
            <w:pPr>
              <w:pStyle w:val="TableContents"/>
              <w:bidi w:val="0"/>
              <w:spacing w:before="0" w:after="0"/>
              <w:ind w:left="0" w:right="0" w:hanging="0"/>
              <w:jc w:val="center"/>
              <w:rPr/>
            </w:pPr>
            <w:r>
              <w:rPr/>
              <w:t>  ​ ​ ​</w:t>
            </w:r>
          </w:p>
        </w:tc>
        <w:tc>
          <w:tcPr>
            <w:tcW w:w="55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shd w:fill="E5E5E5" w:val="clear"/>
            <w:vAlign w:val="center"/>
          </w:tcPr>
          <w:p>
            <w:pPr>
              <w:pStyle w:val="TableContents"/>
              <w:bidi w:val="0"/>
              <w:spacing w:before="0" w:after="0"/>
              <w:ind w:left="0" w:right="0" w:hanging="0"/>
              <w:jc w:val="center"/>
              <w:rPr/>
            </w:pPr>
            <w:r>
              <w:rPr/>
              <w:t>  ​ ​ ​</w:t>
            </w:r>
          </w:p>
        </w:tc>
        <w:tc>
          <w:tcPr>
            <w:tcW w:w="665"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SCT Total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6,131,892</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6,729,013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6,399,926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Actuarial Present Value of Pension Plans Reported in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Service Cost of Pension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Prior Service Cost of Pension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Grant Date Fair Value of Stock Awards Granted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(3,774,347)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(4,417,134)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(4,344,086)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at Fiscal Year-End of Outstanding and Unvested Stock Awards Granted in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2,418,762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4,957,682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1,786,630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Fair Value of Outstanding and Unvested Stock Awards Granted in Prior Fiscal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(1,719,194)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791,291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(1,115,481)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at Vesting of Stock Awards Granted in Fiscal Year That Vested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1,783,368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Fair Value as of Vesting Date of Stock Awards Granted in Prior Fiscal Years For Which Applicable Vesting Conditions Were Satisfied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220,778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(605,434)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as of Prior Fiscal Year-End of Stock Awards Granted in Prior Fiscal Years That Failed to Meet Applicable Vesting Conditions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(886,412)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Dividends or Other Earnings Paid on Stock Awards in the Fiscal Year Prior to the Vesting Date that are not otherwise included in the Total Compensation for the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150,779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238,219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222,863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454"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33"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Compensation Actually Paid</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2,368,850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8,519,849</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29"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4,127,786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4" w:type="dxa"/>
            <w:tcBorders>
              <w:bottom w:val="single" w:sz="2" w:space="0" w:color="7F7F7F"/>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lineRule="auto" w:line="302" w:before="0" w:after="0"/>
        <w:ind w:left="0" w:right="270" w:hanging="0"/>
        <w:jc w:val="left"/>
        <w:rPr/>
      </w:pPr>
      <w:r>
        <w:rPr/>
        <w:t>​</w:t>
      </w:r>
    </w:p>
    <w:p>
      <w:pPr>
        <w:pStyle w:val="TextBody"/>
        <w:bidi w:val="0"/>
        <w:spacing w:lineRule="auto" w:line="302" w:before="0" w:after="0"/>
        <w:ind w:left="0" w:right="27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80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4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31" descr=""/>
                    <pic:cNvPicPr>
                      <a:picLocks noChangeAspect="1" noChangeArrowheads="1"/>
                    </pic:cNvPicPr>
                  </pic:nvPicPr>
                  <pic:blipFill>
                    <a:blip r:embed="rId13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PAY VERSUS PERFORMANCE (“PVP”)</w:t>
      </w:r>
    </w:p>
    <w:p>
      <w:pPr>
        <w:pStyle w:val="TextBody"/>
        <w:bidi w:val="0"/>
        <w:spacing w:before="0" w:after="0"/>
        <w:ind w:left="0" w:right="0" w:hanging="0"/>
        <w:jc w:val="left"/>
        <w:rPr>
          <w:rFonts w:ascii="Arial;Helvetica;sans-serif" w:hAnsi="Arial;Helvetica;sans-serif"/>
          <w:sz w:val="20"/>
        </w:rPr>
      </w:pPr>
      <w:bookmarkStart w:id="315" w:name="Tc_px4JoxlmFEqT2ASP9zl9xQ_27_14"/>
      <w:bookmarkStart w:id="316" w:name="Tc_TSrfKxWyI0eAorsa15A6Jw_27_11"/>
      <w:bookmarkStart w:id="317" w:name="Tc_V5Kwbw67akinAaNqyTns1A_27_8"/>
      <w:bookmarkStart w:id="318" w:name="Tc_YnS8psD1gEKioArIjH-TMg_27_6"/>
      <w:bookmarkStart w:id="319" w:name="Tc_vieaWDE9uUuWY4CFROQ_vA_27_5"/>
      <w:bookmarkStart w:id="320" w:name="Tc_B7wvuhU5rESu54quXOb-Lg_27_3"/>
      <w:bookmarkStart w:id="321" w:name="Tc_jAyUqt21GkuqYBZEJIxhuA_27_2"/>
      <w:bookmarkStart w:id="322" w:name="Tc_VNn2MlXKw0e1OYCgz2F3Gw_27_0"/>
      <w:bookmarkStart w:id="323" w:name="Tc_duR38E2OXE28MZ24ghlVXw_25_14"/>
      <w:bookmarkStart w:id="324" w:name="Tc_FoLCkuDSZU2Y9XL3go6ezg_25_11"/>
      <w:bookmarkStart w:id="325" w:name="Tc_4TzQdTmRBEKQF1chmL-hew_25_8"/>
      <w:bookmarkStart w:id="326" w:name="Tc_btARR-lKK0GJ6-taGnEM8A_25_6"/>
      <w:bookmarkStart w:id="327" w:name="Tc_jQ0GK9cnkEqa2IIPLXx-IA_25_5"/>
      <w:bookmarkStart w:id="328" w:name="Tc_Um1jpuBcn0eSYwHrgBq2Uw_25_3"/>
      <w:bookmarkStart w:id="329" w:name="Tc_1Xs2n5zLqkuSzjcpm99WZw_25_2"/>
      <w:bookmarkStart w:id="330" w:name="Tc_pZb32GuZfkaiRZBebPkZjA_25_0"/>
      <w:bookmarkStart w:id="331" w:name="Tc_g6N9BBjv3USQzYhQuaGXjA_22_15"/>
      <w:bookmarkStart w:id="332" w:name="Tc_P5jYBNi-okWZj2ToY2ckSA_22_14"/>
      <w:bookmarkStart w:id="333" w:name="Tc_RAohyfG0pUS_tPIvuusqDw_22_12"/>
      <w:bookmarkStart w:id="334" w:name="Tc_Q_HydeMW1kqAdBCU3FuF-w_22_11"/>
      <w:bookmarkStart w:id="335" w:name="Tc_mR82HVRsukizteSqJ7rbqg_22_9"/>
      <w:bookmarkStart w:id="336" w:name="Tc_vqDlRkX6_U2vc3FjMKBG3Q_22_8"/>
      <w:bookmarkStart w:id="337" w:name="Tc_2hFf7KbjfEefx1DLbuPmag_22_6"/>
      <w:bookmarkStart w:id="338" w:name="Tc_xcjQVrPOjUeHf0Ig5clLhg_22_5"/>
      <w:bookmarkStart w:id="339" w:name="Tc_7P6pdUcE80uWWVTHRYDbVA_22_3"/>
      <w:bookmarkStart w:id="340" w:name="Tc__7mgfHNTpECuES_LsduLOQ_22_2"/>
      <w:bookmarkStart w:id="341" w:name="Tc_IqLfAG3LV0uARVI6DN3kXA_22_0"/>
      <w:bookmarkStart w:id="342" w:name="Tc_svGIHVzPLUi6bFIgoSleCg_19_14"/>
      <w:bookmarkStart w:id="343" w:name="Tc_2uE3HD1tzE-1WbltsP7W5g_19_11"/>
      <w:bookmarkStart w:id="344" w:name="Tc_TanKy5LDlUWYq_0YpCBsTg_19_8"/>
      <w:bookmarkStart w:id="345" w:name="Tc_frMDcwdGR0ik4zp005SqPQ_19_6"/>
      <w:bookmarkStart w:id="346" w:name="Tc_f26OvalUtECUfp8AyVXcwQ_19_5"/>
      <w:bookmarkStart w:id="347" w:name="Tc_Us240WzpOUmP0CdUsZNI9Q_19_3"/>
      <w:bookmarkStart w:id="348" w:name="Tc_vRewvn_vikyvaem0oeH-eg_19_2"/>
      <w:bookmarkStart w:id="349" w:name="Tc_nQIXfi-PhEGx6QwtsZ2jUA_19_0"/>
      <w:bookmarkStart w:id="350" w:name="Tc_YgfSuv89AUOcXNdA-EAG-Q_16_15"/>
      <w:bookmarkStart w:id="351" w:name="Tc_xisRnaiyn0WeggRe_zxdMQ_16_14"/>
      <w:bookmarkStart w:id="352" w:name="Tc_7uoFXRmDEEWAxjy1-G5N4g_16_12"/>
      <w:bookmarkStart w:id="353" w:name="Tc_Na9LOtncskSB7SH9SvNFFA_16_11"/>
      <w:bookmarkStart w:id="354" w:name="Tc_Z_Qy2OVMDkm0PLwWbjopLA_16_9"/>
      <w:bookmarkStart w:id="355" w:name="Tc_U18bR4XlVk2aV962CBJxvw_16_8"/>
      <w:bookmarkStart w:id="356" w:name="Tc_01XWkpiBkk-L5pj9JaziDw_16_6"/>
      <w:bookmarkStart w:id="357" w:name="Tc_qTIPuYTWIkezyf9YwxSMHg_16_5"/>
      <w:bookmarkStart w:id="358" w:name="Tc_m0s59m__lEeLnzCiQC13aA_16_3"/>
      <w:bookmarkStart w:id="359" w:name="Tc_df6s5lQmgEyatCOWdpHpeA_16_2"/>
      <w:bookmarkStart w:id="360" w:name="Tc_o2zzEmGQtUKv94lBnMie7g_16_0"/>
      <w:bookmarkStart w:id="361" w:name="Tc_-9Ty2pyxh0S2qFqcE9cUcA_13_14"/>
      <w:bookmarkStart w:id="362" w:name="Tc_henAjeDdd0eS2mhoa-NRYg_13_11"/>
      <w:bookmarkStart w:id="363" w:name="Tc_mNc6n5Fu5UOPBfGyz6Ffng_13_8"/>
      <w:bookmarkStart w:id="364" w:name="Tc_8GRpp5CoUEaIOhqzY_2wkA_13_6"/>
      <w:bookmarkStart w:id="365" w:name="Tc_hBkQQDmq3kuvxsRDVTq83A_13_5"/>
      <w:bookmarkStart w:id="366" w:name="Tc_XvhXgfqn_EGTQKtpGL0uLQ_13_3"/>
      <w:bookmarkStart w:id="367" w:name="Tc_nOur2iGUTUuwmHqBvZrPhw_13_2"/>
      <w:bookmarkStart w:id="368" w:name="Tc_-tKfh5U7iUGgEynCeVhgag_13_0"/>
      <w:bookmarkStart w:id="369" w:name="Tc_5sdwGk3Jx0qBtkGbJ_yzAA_10_14"/>
      <w:bookmarkStart w:id="370" w:name="Tc_KhXt_fekCkWnAzykhTfUkA_10_11"/>
      <w:bookmarkStart w:id="371" w:name="Tc_S3lMx29vFUe0wgItMivH8Q_10_8"/>
      <w:bookmarkStart w:id="372" w:name="Tc_hEyJMVnQfU-mhoy3IqmZ6Q_10_6"/>
      <w:bookmarkStart w:id="373" w:name="Tc_v5Zv2kAgB0-BSC_r_g3Gzg_10_5"/>
      <w:bookmarkStart w:id="374" w:name="Tc_ilb9SHmYi0GGkFSzOIYPzQ_10_3"/>
      <w:bookmarkStart w:id="375" w:name="Tc_tmJXe6YMgEyIl8rdJ4p4cQ_10_2"/>
      <w:bookmarkStart w:id="376" w:name="Tc_MYRdQVQWm064tcOqlMkFHQ_10_0"/>
      <w:bookmarkStart w:id="377" w:name="Tc_CvNGdovUOUG3FlCLmMZn2w_8_14"/>
      <w:bookmarkStart w:id="378" w:name="Tc_6WIVD65TZEOxP-vq0xoDyw_8_11"/>
      <w:bookmarkStart w:id="379" w:name="Tc_9I1kjnYHxUi27_dApNAP3A_8_8"/>
      <w:bookmarkStart w:id="380" w:name="Tc_651KhkDqD0S02Hw1azMtpQ_8_6"/>
      <w:bookmarkStart w:id="381" w:name="Tc_NeT9_iMirUKsOfIPXXfpGQ_8_5"/>
      <w:bookmarkStart w:id="382" w:name="Tc_YtKLnebkS0mxSCVOn_C_qw_8_3"/>
      <w:bookmarkStart w:id="383" w:name="Tc_BuBKHte9BEqTOab5A0Vwxw_8_2"/>
      <w:bookmarkStart w:id="384" w:name="Tc_VhjhVd9RikaUL65T62_yEQ_8_0"/>
      <w:bookmarkStart w:id="385" w:name="Tc_TEo9d7Fkp02ssoFUDAotaA_7_15"/>
      <w:bookmarkStart w:id="386" w:name="Tc_gztkdcVJ906JXE5BmpjWLQ_7_14"/>
      <w:bookmarkStart w:id="387" w:name="Tc_zvLzFOpTpEWYo3aor6nkVQ_7_12"/>
      <w:bookmarkStart w:id="388" w:name="Tc_g9MAsTAC40Of5kBYDR3Z0w_7_11"/>
      <w:bookmarkStart w:id="389" w:name="Tc_nQ8MEK-4aUeutWyGBU7DvA_7_9"/>
      <w:bookmarkStart w:id="390" w:name="Tc_OsByoYIa5EO1hCSF9AdK8w_7_8"/>
      <w:bookmarkStart w:id="391" w:name="Tc_9Ugabt7hdEu47iuh01B6FA_7_6"/>
      <w:bookmarkStart w:id="392" w:name="Tc_O9W1iwFZuEqtWqahjIpM-w_7_5"/>
      <w:bookmarkStart w:id="393" w:name="Tc_h4kyTH7sE0iGbGjb7-G2kQ_7_3"/>
      <w:bookmarkStart w:id="394" w:name="Tc_e7BZER_QO0CllMmjgTpkAA_7_2"/>
      <w:bookmarkStart w:id="395" w:name="Tc_ImUHjN1m6UOflj8R3u3EvQ_7_0"/>
      <w:bookmarkStart w:id="396" w:name="Tc_bav99gxxHkCJOfK9ZRWN4g_6_15"/>
      <w:bookmarkStart w:id="397" w:name="Tc_XXKHqQLSDkO6aTZa_e36DQ_6_14"/>
      <w:bookmarkStart w:id="398" w:name="Tc_1tyIYOkOLkOkFcokpZZv9w_6_12"/>
      <w:bookmarkStart w:id="399" w:name="Tc_Qtb_eoYY80GGVEqjwd62FQ_6_11"/>
      <w:bookmarkStart w:id="400" w:name="Tc_q0XO1mnzz0if06xNYeWByw_6_9"/>
      <w:bookmarkStart w:id="401" w:name="Tc_BwIJFZnX_UKgwOo_urNrQw_6_8"/>
      <w:bookmarkStart w:id="402" w:name="Tc_d32HhTuiF0y6Rr27GXQGvA_6_6"/>
      <w:bookmarkStart w:id="403" w:name="Tc_wvKbGbEnE0m3Jd8iAhIWTg_6_5"/>
      <w:bookmarkStart w:id="404" w:name="Tc_izxHcZHZNUWHWDuQyJ4Mzg_6_3"/>
      <w:bookmarkStart w:id="405" w:name="Tc_IqkAyAWlSUWH9h7KNTtdgw_6_2"/>
      <w:bookmarkStart w:id="406" w:name="Tc_3y0i1_iBNkW6fU2T9XTgig_6_0"/>
      <w:bookmarkStart w:id="407" w:name="Tc_ZDRDcWJK9UyWGkGaxCNL-g_4_15"/>
      <w:bookmarkStart w:id="408" w:name="Tc_GqFiKiSeOESOR9XU1qa6lA_4_14"/>
      <w:bookmarkStart w:id="409" w:name="Tc_8NNLyJ60skutQnHHFFh_Kw_4_12"/>
      <w:bookmarkStart w:id="410" w:name="Tc_kvfAp3xoRkGCFEMSsdaHog_4_11"/>
      <w:bookmarkStart w:id="411" w:name="Tc_HLLBxJrIa0a0Zkgo8zbH0g_4_9"/>
      <w:bookmarkStart w:id="412" w:name="Tc_Q2V1cf_ypEKsybdbPYP2rQ_4_8"/>
      <w:bookmarkStart w:id="413" w:name="Tc_gBIMZZLHWUOXOuQL2BAvtA_4_6"/>
      <w:bookmarkStart w:id="414" w:name="Tc_womesaWxXEa7CzRq15eWZA_4_5"/>
      <w:bookmarkStart w:id="415" w:name="Tc_1cItMWhUj02vXeaah8J8iA_4_3"/>
      <w:bookmarkStart w:id="416" w:name="Tc_HSgxCcHnkUSD_SbQak2Ghg_4_2"/>
      <w:bookmarkStart w:id="417" w:name="Tc_49gCu-K3GUGFEnoceGl87A_4_0"/>
      <w:bookmarkStart w:id="418" w:name="Tc_Yvmz1BG0q0ivQ8z5eE-siw_2_14"/>
      <w:bookmarkStart w:id="419" w:name="Tc_jqDc4MK_mUSiy69BUvnoeQ_2_11"/>
      <w:bookmarkStart w:id="420" w:name="Tc_1Y3xLvR9aEiUp6KnA_kkfw_2_8"/>
      <w:bookmarkStart w:id="421" w:name="Tc_UBWhBa9ViUCEgwWWuTsP6A_2_6"/>
      <w:bookmarkStart w:id="422" w:name="Tc_dSOhRBAtAUmHFxkVUUrHUA_2_5"/>
      <w:bookmarkStart w:id="423" w:name="Tc_DkYZ5j296UK0PbYyeziMeg_2_3"/>
      <w:bookmarkStart w:id="424" w:name="Tc_lk2P-OMIVkyXUh5o5bvI8Q_2_2"/>
      <w:bookmarkStart w:id="425" w:name="Tc_bldv-30N-06HmyZQuevPaw_2_0"/>
      <w:bookmarkStart w:id="426" w:name="Tc_0d2VBtPCYkCIc_3tg8-QRg_1_14"/>
      <w:bookmarkStart w:id="427" w:name="Tc_zA2DCcMGm0eBBHRJ1Hp2XQ_1_11"/>
      <w:bookmarkStart w:id="428" w:name="Tc_589x5VSbWUSRkDYJnErY_w_1_9"/>
      <w:bookmarkStart w:id="429" w:name="Tc_PO-r1VNpQk-mZojs_OqbBw_1_5"/>
      <w:bookmarkStart w:id="430" w:name="Tc_UBt0hI5nxUmosJXOWmP5gQ_1_2"/>
      <w:bookmarkStart w:id="431" w:name="Tc_WnEv10J5kU-49hbS1TdDPQ_1_0"/>
      <w:bookmarkStart w:id="432" w:name="_8f6d547a_bc2a_4cdc_9d54_f73efcb77a3d"/>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rPr>
          <w:rFonts w:ascii="Arial;Helvetica;sans-serif" w:hAnsi="Arial;Helvetica;sans-serif"/>
          <w:sz w:val="20"/>
        </w:rPr>
        <w:t>Mr. Chowbey SCT Total to CAP Reconciliation</w:t>
      </w:r>
    </w:p>
    <w:p>
      <w:pPr>
        <w:pStyle w:val="TextBody"/>
        <w:bidi w:val="0"/>
        <w:spacing w:lineRule="auto" w:line="302" w:before="0" w:after="0"/>
        <w:ind w:left="0" w:right="270" w:hanging="0"/>
        <w:jc w:val="left"/>
        <w:rPr/>
      </w:pPr>
      <w:r>
        <w:rPr/>
        <w:t>​</w:t>
      </w:r>
    </w:p>
    <w:tbl>
      <w:tblPr>
        <w:tblW w:w="10205" w:type="dxa"/>
        <w:jc w:val="left"/>
        <w:tblInd w:w="0" w:type="dxa"/>
        <w:tblLayout w:type="fixed"/>
        <w:tblCellMar>
          <w:top w:w="0" w:type="dxa"/>
          <w:left w:w="0" w:type="dxa"/>
          <w:bottom w:w="0" w:type="dxa"/>
          <w:right w:w="0" w:type="dxa"/>
        </w:tblCellMar>
      </w:tblPr>
      <w:tblGrid>
        <w:gridCol w:w="3565"/>
        <w:gridCol w:w="346"/>
        <w:gridCol w:w="211"/>
        <w:gridCol w:w="346"/>
        <w:gridCol w:w="346"/>
        <w:gridCol w:w="211"/>
        <w:gridCol w:w="346"/>
        <w:gridCol w:w="346"/>
        <w:gridCol w:w="211"/>
        <w:gridCol w:w="961"/>
        <w:gridCol w:w="346"/>
        <w:gridCol w:w="211"/>
        <w:gridCol w:w="1030"/>
        <w:gridCol w:w="346"/>
        <w:gridCol w:w="211"/>
        <w:gridCol w:w="1172"/>
      </w:tblGrid>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left"/>
              <w:rPr/>
            </w:pPr>
            <w:r>
              <w:rPr/>
              <w:t>​</w:t>
            </w:r>
          </w:p>
        </w:tc>
      </w:tr>
      <w:tr>
        <w:trPr/>
        <w:tc>
          <w:tcPr>
            <w:tcW w:w="3565"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Fiscal Year</w:t>
            </w:r>
          </w:p>
        </w:tc>
        <w:tc>
          <w:tcPr>
            <w:tcW w:w="346" w:type="dxa"/>
            <w:tcBorders/>
            <w:shd w:fill="E5E5E5" w:val="clear"/>
            <w:vAlign w:val="center"/>
          </w:tcPr>
          <w:p>
            <w:pPr>
              <w:pStyle w:val="TableContents"/>
              <w:bidi w:val="0"/>
              <w:spacing w:before="0" w:after="0"/>
              <w:ind w:left="0" w:right="0" w:hanging="0"/>
              <w:jc w:val="left"/>
              <w:rPr/>
            </w:pPr>
            <w:r>
              <w:rPr/>
              <w:t>  ​ ​ ​</w:t>
            </w:r>
          </w:p>
        </w:tc>
        <w:tc>
          <w:tcPr>
            <w:tcW w:w="55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46" w:type="dxa"/>
            <w:tcBorders/>
            <w:shd w:fill="E5E5E5" w:val="clear"/>
            <w:vAlign w:val="center"/>
          </w:tcPr>
          <w:p>
            <w:pPr>
              <w:pStyle w:val="TableContents"/>
              <w:bidi w:val="0"/>
              <w:spacing w:before="0" w:after="0"/>
              <w:ind w:left="0" w:right="0" w:hanging="0"/>
              <w:jc w:val="left"/>
              <w:rPr/>
            </w:pPr>
            <w:r>
              <w:rPr/>
              <w:t>  ​ ​ ​</w:t>
            </w:r>
          </w:p>
        </w:tc>
        <w:tc>
          <w:tcPr>
            <w:tcW w:w="55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46" w:type="dxa"/>
            <w:tcBorders/>
            <w:shd w:fill="E5E5E5" w:val="clear"/>
            <w:vAlign w:val="center"/>
          </w:tcPr>
          <w:p>
            <w:pPr>
              <w:pStyle w:val="TableContents"/>
              <w:bidi w:val="0"/>
              <w:spacing w:before="0" w:after="0"/>
              <w:ind w:left="0" w:right="0" w:hanging="0"/>
              <w:jc w:val="left"/>
              <w:rPr/>
            </w:pPr>
            <w:r>
              <w:rPr/>
              <w:t>  ​ ​ ​</w:t>
            </w:r>
          </w:p>
        </w:tc>
        <w:tc>
          <w:tcPr>
            <w:tcW w:w="211" w:type="dxa"/>
            <w:tcBorders/>
            <w:shd w:fill="E5E5E5" w:val="clear"/>
            <w:vAlign w:val="center"/>
          </w:tcPr>
          <w:p>
            <w:pPr>
              <w:pStyle w:val="TableContents"/>
              <w:bidi w:val="0"/>
              <w:spacing w:before="0" w:after="0"/>
              <w:ind w:left="0" w:right="0" w:hanging="0"/>
              <w:jc w:val="center"/>
              <w:rPr/>
            </w:pPr>
            <w:r>
              <w:rPr/>
              <w:t>​</w:t>
            </w:r>
          </w:p>
        </w:tc>
        <w:tc>
          <w:tcPr>
            <w:tcW w:w="96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shd w:fill="E5E5E5" w:val="clear"/>
            <w:vAlign w:val="center"/>
          </w:tcPr>
          <w:p>
            <w:pPr>
              <w:pStyle w:val="TableContents"/>
              <w:bidi w:val="0"/>
              <w:spacing w:before="0" w:after="0"/>
              <w:ind w:left="0" w:right="0" w:hanging="0"/>
              <w:jc w:val="left"/>
              <w:rPr/>
            </w:pPr>
            <w:r>
              <w:rPr/>
              <w:t>  ​ ​ ​</w:t>
            </w:r>
          </w:p>
        </w:tc>
        <w:tc>
          <w:tcPr>
            <w:tcW w:w="1241"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shd w:fill="E5E5E5" w:val="clear"/>
            <w:vAlign w:val="center"/>
          </w:tcPr>
          <w:p>
            <w:pPr>
              <w:pStyle w:val="TableContents"/>
              <w:bidi w:val="0"/>
              <w:spacing w:before="0" w:after="0"/>
              <w:ind w:left="0" w:right="0" w:hanging="0"/>
              <w:jc w:val="left"/>
              <w:rPr/>
            </w:pPr>
            <w:r>
              <w:rPr/>
              <w:t>  ​ ​ ​</w:t>
            </w:r>
          </w:p>
        </w:tc>
        <w:tc>
          <w:tcPr>
            <w:tcW w:w="1383"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SCT Total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1,794,097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4,694,633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7,356,246</w:t>
            </w:r>
          </w:p>
        </w:tc>
      </w:tr>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Actuarial Present Value of Pension Plans Reported in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Service Cost of Pension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Prior Service Cost of Pension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Grant Date Fair Value of Stock Awards Granted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(865,913)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(3,052,941)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(4,776,510)</w:t>
            </w:r>
          </w:p>
        </w:tc>
      </w:tr>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at Fiscal Year-End of Outstanding and Unvested Stock Awards Granted in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683,432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2,671,209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9,335,918</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Fair Value of Outstanding and Unvested Stock Awards Granted in Prior Fiscal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(296,905)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1,151,657</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at Vesting of Stock Awards Granted in Fiscal Year That Vested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Fair Value as of Vesting Date of Stock Awards Granted in Prior Fiscal Years For Which Applicable Vesting Conditions Were Satisfied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(16,488)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38,086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97,970</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as of Prior Fiscal Year-End of Stock Awards Granted in Prior Fiscal Years That Failed to Meet Applicable Vesting Conditions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pPr>
            <w:r>
              <w:rPr/>
              <w:t>​</w:t>
            </w:r>
          </w:p>
        </w:tc>
      </w:tr>
      <w:tr>
        <w:trPr/>
        <w:tc>
          <w:tcPr>
            <w:tcW w:w="356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Dividends or Other Earnings Paid on Stock Awards in the Fiscal Year Prior to the Vesting Date that are not otherwise included in the Total Compensation for the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40,598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103,781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257,497</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56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Compensation Actually Paid</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1,338,821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30"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4,421,080</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172"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b/>
                <w:sz w:val="20"/>
              </w:rPr>
            </w:pPr>
            <w:r>
              <w:rPr>
                <w:rFonts w:ascii="Arial;Helvetica;sans-serif" w:hAnsi="Arial;Helvetica;sans-serif"/>
                <w:b/>
                <w:sz w:val="20"/>
              </w:rPr>
              <w:t>13,422,778</w:t>
            </w:r>
          </w:p>
        </w:tc>
      </w:tr>
    </w:tbl>
    <w:p>
      <w:pPr>
        <w:pStyle w:val="TextBody"/>
        <w:bidi w:val="0"/>
        <w:spacing w:lineRule="auto" w:line="302" w:before="0" w:after="0"/>
        <w:ind w:left="0" w:right="270" w:hanging="0"/>
        <w:jc w:val="left"/>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81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4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32" descr=""/>
                    <pic:cNvPicPr>
                      <a:picLocks noChangeAspect="1" noChangeArrowheads="1"/>
                    </pic:cNvPicPr>
                  </pic:nvPicPr>
                  <pic:blipFill>
                    <a:blip r:embed="rId13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PAY VERSUS PERFORMANCE (“PVP”)</w:t>
      </w:r>
    </w:p>
    <w:p>
      <w:pPr>
        <w:pStyle w:val="TextBody"/>
        <w:bidi w:val="0"/>
        <w:spacing w:before="0" w:after="120"/>
        <w:ind w:left="0" w:right="0" w:hanging="0"/>
        <w:jc w:val="left"/>
        <w:rPr>
          <w:rFonts w:ascii="Arial;Helvetica;sans-serif" w:hAnsi="Arial;Helvetica;sans-serif"/>
          <w:sz w:val="20"/>
        </w:rPr>
      </w:pPr>
      <w:bookmarkStart w:id="433" w:name="Tc_e3DziQhD60-XA9pwYOb3oA_27_14"/>
      <w:bookmarkStart w:id="434" w:name="Tc_IZ45tk4FxkCQDCJaJDxVKA_27_11"/>
      <w:bookmarkStart w:id="435" w:name="Tc_e3phgzDDzUaEzqjz9IOdlg_27_8"/>
      <w:bookmarkStart w:id="436" w:name="Tc_7dprW7d3K0-9T-Dzjx5_JQ_27_5"/>
      <w:bookmarkStart w:id="437" w:name="Tc_jvbo2bGvVka0Gsfy2DMWTQ_27_2"/>
      <w:bookmarkStart w:id="438" w:name="Tc_HW9jmmfh70SlzIu52M2JIg_27_0"/>
      <w:bookmarkStart w:id="439" w:name="Tc_cyLDE5aqh0WG3axcfPgi0A_25_14"/>
      <w:bookmarkStart w:id="440" w:name="Tc_zQhYXc9UE0WDAo1ou-qXJQ_25_11"/>
      <w:bookmarkStart w:id="441" w:name="Tc_ZZ3W9NIFwUa6YN-9we-sBg_25_8"/>
      <w:bookmarkStart w:id="442" w:name="Tc_bj7ciQse9ESKoUUN1qvc-A_25_5"/>
      <w:bookmarkStart w:id="443" w:name="Tc_2gDCKpH7NUi97FujFdHmWg_25_2"/>
      <w:bookmarkStart w:id="444" w:name="Tc_9kMwrNWCSk-IbEMyo7X2YQ_25_0"/>
      <w:bookmarkStart w:id="445" w:name="Tc_NAWNUb2hwUO0p8-R2GgGOQ_22_15"/>
      <w:bookmarkStart w:id="446" w:name="Tc_kWPGazgRo0iq6KzsDFdW1A_22_14"/>
      <w:bookmarkStart w:id="447" w:name="Tc_eQ7nUoJPiUWV8gk1qwue5A_22_11"/>
      <w:bookmarkStart w:id="448" w:name="Tc_phxs1iJm7kegyw96oxewHw_22_9"/>
      <w:bookmarkStart w:id="449" w:name="Tc_bsL5vKT8u0qhrfQp6lnHjw_22_8"/>
      <w:bookmarkStart w:id="450" w:name="Tc_OCTsL5F-AEKyJuBikoPXBw_22_6"/>
      <w:bookmarkStart w:id="451" w:name="Tc_XwIKv-58YEqhEb4N053bnQ_22_5"/>
      <w:bookmarkStart w:id="452" w:name="Tc_sPPWEe6Wg0mSmal8xyN1Tg_22_2"/>
      <w:bookmarkStart w:id="453" w:name="Tc_k3FWVD7afECCp4mApDplNQ_22_0"/>
      <w:bookmarkStart w:id="454" w:name="Tc_BSfyPSijskK-xeNXEbXHng_19_14"/>
      <w:bookmarkStart w:id="455" w:name="Tc_re57r5fSfEC2b_vtkxsjjA_19_11"/>
      <w:bookmarkStart w:id="456" w:name="Tc_szbzSzcVTkGBT7K4XMFXKg_19_8"/>
      <w:bookmarkStart w:id="457" w:name="Tc_hnJ4vqextEyJSQlCQCbIcA_19_5"/>
      <w:bookmarkStart w:id="458" w:name="Tc_WvJFGgcaekq6raQQND-71Q_19_2"/>
      <w:bookmarkStart w:id="459" w:name="Tc_qkZUeI0OGkC0kcZMbBuuPA_19_0"/>
      <w:bookmarkStart w:id="460" w:name="Tc_Zz_qryC8nkiIQd-DGKbi0A_16_15"/>
      <w:bookmarkStart w:id="461" w:name="Tc_gtuIuLd-60yamDe85O1_Jw_16_14"/>
      <w:bookmarkStart w:id="462" w:name="Tc_QBLqoY1mSE6ZwdClHov08A_16_12"/>
      <w:bookmarkStart w:id="463" w:name="Tc_GvKViGgLNEGlmJoRBWri3Q_16_11"/>
      <w:bookmarkStart w:id="464" w:name="Tc_NGjQ_enqzkKeOvrWOGekOg_16_9"/>
      <w:bookmarkStart w:id="465" w:name="Tc_GgDqEZPts0mM5MxUZVzIvQ_16_8"/>
      <w:bookmarkStart w:id="466" w:name="Tc_Jth_jRHelEqcamV-hBOOVQ_16_6"/>
      <w:bookmarkStart w:id="467" w:name="Tc_nVzKRxVt0UiveUssEDoF5w_16_5"/>
      <w:bookmarkStart w:id="468" w:name="Tc_RPbHDJziJE2e-PTKb6FZBg_16_3"/>
      <w:bookmarkStart w:id="469" w:name="Tc_3zyjzucFRkiXj0BuMMHsqg_16_2"/>
      <w:bookmarkStart w:id="470" w:name="Tc_xVshUGu1sUuPZMEKg7kHUA_16_0"/>
      <w:bookmarkStart w:id="471" w:name="Tc_lSWOwccHQEucqbAy4WkRMQ_13_14"/>
      <w:bookmarkStart w:id="472" w:name="Tc_wYhIOO85O0-iBwFyTyv10g_13_11"/>
      <w:bookmarkStart w:id="473" w:name="Tc_Y2qk23Sgm0K7NHdJeai9fw_13_8"/>
      <w:bookmarkStart w:id="474" w:name="Tc_awIDS_JwLEOHqUFfYAdhJQ_13_5"/>
      <w:bookmarkStart w:id="475" w:name="Tc__tYxpEdEN0KeOmLuk7AgMA_13_2"/>
      <w:bookmarkStart w:id="476" w:name="Tc_kMUux0pXl0i09f7Hi-0D5g_13_0"/>
      <w:bookmarkStart w:id="477" w:name="Tc_ZzK5qwE9xECPZWNlcjiHkw_10_14"/>
      <w:bookmarkStart w:id="478" w:name="Tc_oNRo-Rli90GIenKjBtij6Q_10_11"/>
      <w:bookmarkStart w:id="479" w:name="Tc_11teihRfUkqhRBU-hmc8Mw_10_8"/>
      <w:bookmarkStart w:id="480" w:name="Tc_5Pi27fZ2j0qsnfigm8kCew_10_5"/>
      <w:bookmarkStart w:id="481" w:name="Tc_9_43P2Ql80q2KIaWp4k5nQ_10_2"/>
      <w:bookmarkStart w:id="482" w:name="Tc_zm4dEyznaUKSVru3f_zSXA_10_0"/>
      <w:bookmarkStart w:id="483" w:name="Tc_fbiQ6_zCwEmpyHhFUp-3vw_8_14"/>
      <w:bookmarkStart w:id="484" w:name="Tc_kbrgjBAsMUeF4TVj7N7K2g_8_11"/>
      <w:bookmarkStart w:id="485" w:name="Tc_wxe1LxWypUOl--ZNz6cRPw_8_8"/>
      <w:bookmarkStart w:id="486" w:name="Tc_OqbOWhnfBU6SwldFChmf2w_8_5"/>
      <w:bookmarkStart w:id="487" w:name="Tc_yHS05NNkaESjRr8MJRsxiA_8_2"/>
      <w:bookmarkStart w:id="488" w:name="Tc_e9ldOXBM6Ee8pvGWTfYQmQ_8_0"/>
      <w:bookmarkStart w:id="489" w:name="Tc_3Aku8EBO606aqzwS5nD5Hw_7_15"/>
      <w:bookmarkStart w:id="490" w:name="Tc_IOJNahauMU2L9gB6NGgb3w_7_14"/>
      <w:bookmarkStart w:id="491" w:name="Tc_5imzabBi2kmKTtkgzIIEvQ_7_12"/>
      <w:bookmarkStart w:id="492" w:name="Tc_ElsazkIw00qlgdK8Tc-p7Q_7_11"/>
      <w:bookmarkStart w:id="493" w:name="Tc_G11SPLrXUkW88nX6RxUejg_7_9"/>
      <w:bookmarkStart w:id="494" w:name="Tc_IQFQBn4WUEOk66pHnBUmkQ_7_8"/>
      <w:bookmarkStart w:id="495" w:name="Tc_EpLxD7Rk7kmzG9_41SiEgw_7_6"/>
      <w:bookmarkStart w:id="496" w:name="Tc_EjCz_E9UR0q6pNMI9yLueA_7_5"/>
      <w:bookmarkStart w:id="497" w:name="Tc_f64jJH_BU02YmCg0Dx5a5w_7_3"/>
      <w:bookmarkStart w:id="498" w:name="Tc_Tl77l6icMkKxuNOb_wPE0w_7_2"/>
      <w:bookmarkStart w:id="499" w:name="Tc_SklBLZMpxEqptljDEKmm5g_7_0"/>
      <w:bookmarkStart w:id="500" w:name="Tc_hvnVt6gBfkuRE_o6jZAn7A_6_15"/>
      <w:bookmarkStart w:id="501" w:name="Tc_2Xh9Fx8k1UG49KZ9MsWPPg_6_14"/>
      <w:bookmarkStart w:id="502" w:name="Tc_k8AZFfU1hU6mQmi_C4r9Qw_6_12"/>
      <w:bookmarkStart w:id="503" w:name="Tc_03XWim461ka4a7ZKm0GTNA_6_11"/>
      <w:bookmarkStart w:id="504" w:name="Tc_kctp0cdAaEi_htsLRpor5g_6_8"/>
      <w:bookmarkStart w:id="505" w:name="Tc_EIYQPyIUeUe8fnaIq7Aphw_6_6"/>
      <w:bookmarkStart w:id="506" w:name="Tc_7WGgZePJ00K-ICfpVmULew_6_5"/>
      <w:bookmarkStart w:id="507" w:name="Tc_t-IO-LlwP0CQ93j61Kdcpw_6_2"/>
      <w:bookmarkStart w:id="508" w:name="Tc_-cP1feGr8kWqyY58Hoe5Nw_6_0"/>
      <w:bookmarkStart w:id="509" w:name="Tc_Xe-9ZYH45kCJN1F2hI1M8g_4_15"/>
      <w:bookmarkStart w:id="510" w:name="Tc_xEYxuQAuJUiVudoBtqCtfw_4_14"/>
      <w:bookmarkStart w:id="511" w:name="Tc_SB4nfWpKdU6ALXBay_1cRQ_4_12"/>
      <w:bookmarkStart w:id="512" w:name="Tc_5wpVTwxf80SMJTamDPK_6w_4_11"/>
      <w:bookmarkStart w:id="513" w:name="Tc_qlWdxxY8xEuwsTNvnGskmg_4_8"/>
      <w:bookmarkStart w:id="514" w:name="Tc__f7glTvhwkSiqwdft49_WQ_4_6"/>
      <w:bookmarkStart w:id="515" w:name="Tc_c_ILeuCqM0e7RZgp-yIGhQ_4_5"/>
      <w:bookmarkStart w:id="516" w:name="Tc_S4WGY3Ire0m3I5YDUNXIQA_4_2"/>
      <w:bookmarkStart w:id="517" w:name="Tc_SsFMckCYp0uWGGh43HKvig_4_0"/>
      <w:bookmarkStart w:id="518" w:name="Tc_syHtzsufjUajJ1RWw_TUgg_2_14"/>
      <w:bookmarkStart w:id="519" w:name="Tc_d3wNmHcXokaY_8d-meqxNQ_2_11"/>
      <w:bookmarkStart w:id="520" w:name="Tc_RPo9RNy7iUS8Ax0KIzQ5lA_2_8"/>
      <w:bookmarkStart w:id="521" w:name="Tc_roYbsp_EOka6cTf-GvVRcg_2_5"/>
      <w:bookmarkStart w:id="522" w:name="Tc_pL0BUd5gW0mtmkqgJVs3bA_2_2"/>
      <w:bookmarkStart w:id="523" w:name="Tc_sOzbZ-V_TESBwgaxcsTjhw_2_0"/>
      <w:bookmarkStart w:id="524" w:name="Tc_lIZ8JkdxdkmxWn0SnQE6pQ_1_14"/>
      <w:bookmarkStart w:id="525" w:name="Tc_XGPT28lxD0-4WPuk4wTCtg_1_11"/>
      <w:bookmarkStart w:id="526" w:name="Tc_Dwb-G3WL5kmTLyr7EeaiEA_1_8"/>
      <w:bookmarkStart w:id="527" w:name="Tc_i8blmXDQqkKoSmVN4AHDDQ_1_5"/>
      <w:bookmarkStart w:id="528" w:name="Tc_tc29cXfCVUO_1XM5AMCJ2Q_1_2"/>
      <w:bookmarkStart w:id="529" w:name="Tc_R-v7b1w4ekGxRg-1Z_UfIA_1_0"/>
      <w:bookmarkStart w:id="530" w:name="_92f645b1_614c_4a86_857d_a1b106c10e4a"/>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Pr>
          <w:rFonts w:ascii="Arial;Helvetica;sans-serif" w:hAnsi="Arial;Helvetica;sans-serif"/>
          <w:sz w:val="20"/>
        </w:rPr>
        <w:t>Non-PEO NEO Average SCT Total to Average CAP Reconciliation</w:t>
      </w:r>
    </w:p>
    <w:tbl>
      <w:tblPr>
        <w:tblW w:w="10205" w:type="dxa"/>
        <w:jc w:val="left"/>
        <w:tblInd w:w="0" w:type="dxa"/>
        <w:tblLayout w:type="fixed"/>
        <w:tblCellMar>
          <w:top w:w="0" w:type="dxa"/>
          <w:left w:w="0" w:type="dxa"/>
          <w:bottom w:w="0" w:type="dxa"/>
          <w:right w:w="0" w:type="dxa"/>
        </w:tblCellMar>
      </w:tblPr>
      <w:tblGrid>
        <w:gridCol w:w="2505"/>
        <w:gridCol w:w="346"/>
        <w:gridCol w:w="211"/>
        <w:gridCol w:w="961"/>
        <w:gridCol w:w="346"/>
        <w:gridCol w:w="211"/>
        <w:gridCol w:w="961"/>
        <w:gridCol w:w="346"/>
        <w:gridCol w:w="211"/>
        <w:gridCol w:w="961"/>
        <w:gridCol w:w="346"/>
        <w:gridCol w:w="211"/>
        <w:gridCol w:w="961"/>
        <w:gridCol w:w="346"/>
        <w:gridCol w:w="211"/>
        <w:gridCol w:w="1071"/>
      </w:tblGrid>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left"/>
              <w:rPr/>
            </w:pPr>
            <w:r>
              <w:rPr/>
              <w:t>​</w:t>
            </w:r>
          </w:p>
        </w:tc>
      </w:tr>
      <w:tr>
        <w:trPr/>
        <w:tc>
          <w:tcPr>
            <w:tcW w:w="2505"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Fiscal Year</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shd w:fill="E5E5E5" w:val="clear"/>
            <w:vAlign w:val="center"/>
          </w:tcPr>
          <w:p>
            <w:pPr>
              <w:pStyle w:val="TableContents"/>
              <w:bidi w:val="0"/>
              <w:spacing w:before="0" w:after="0"/>
              <w:ind w:left="0" w:right="0" w:hanging="0"/>
              <w:jc w:val="center"/>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shd w:fill="E5E5E5" w:val="clear"/>
            <w:vAlign w:val="center"/>
          </w:tcPr>
          <w:p>
            <w:pPr>
              <w:pStyle w:val="TableContents"/>
              <w:bidi w:val="0"/>
              <w:spacing w:before="0" w:after="0"/>
              <w:ind w:left="0" w:right="0" w:hanging="0"/>
              <w:jc w:val="left"/>
              <w:rPr/>
            </w:pPr>
            <w:r>
              <w:rPr/>
              <w:t>  ​ ​ ​</w:t>
            </w:r>
          </w:p>
        </w:tc>
        <w:tc>
          <w:tcPr>
            <w:tcW w:w="128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Average SCT Total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1,464,994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1,361,854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1,375,327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1,532,141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2,239,624</w:t>
            </w:r>
          </w:p>
        </w:tc>
      </w:tr>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Actuarial Present Value of Pension Plans Reported in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(75,872)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Service Cost of Pension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35,758</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77,227</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Prior Service Cost of Pension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Grant Date Fair Value of Stock Awards Granted in Fiscal Year</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(741,024)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(585,894)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(578,424)</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(696,041)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(1,198,785)</w:t>
            </w:r>
          </w:p>
        </w:tc>
      </w:tr>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at Fiscal Year-End of Outstanding and Unvested Stock Awards Granted in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351,046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656,444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460,026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499,290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2,255,196</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Fair Value of Outstanding and Unvested Stock Awards Granted in Prior Fiscal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(134,416)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94,368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(159,167)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302,556</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at Vesting of Stock Awards Granted in Fiscal Year That Vested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Change in Fair Value as of Vesting Date of Stock Awards Granted in Prior Fiscal Years For Which Applicable Vesting Conditions Were Satisfied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51,615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(54,770)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20,832</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Fair Value as of Prior Fiscal Year-End of Stock Awards Granted in Prior Fiscal Years That Failed to Meet Applicable Vesting Conditions During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(356,522)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w:t>
            </w:r>
          </w:p>
        </w:tc>
      </w:tr>
      <w:tr>
        <w:trPr/>
        <w:tc>
          <w:tcPr>
            <w:tcW w:w="25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Dividends or Other Earnings Paid on Stock Awards in the Fiscal Year Prior to the Vesting Date that are not otherwise included in the Total Compensation for the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28,066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23,641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63,299</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250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Average Compensation Actually Paid</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576,965</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1,609,461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1,072,413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1,294,523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71"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b/>
                <w:sz w:val="20"/>
              </w:rPr>
            </w:pPr>
            <w:r>
              <w:rPr>
                <w:rFonts w:ascii="Arial;Helvetica;sans-serif" w:hAnsi="Arial;Helvetica;sans-serif"/>
                <w:b/>
                <w:sz w:val="20"/>
              </w:rPr>
              <w:t>3,682,722</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(3)</w:t>
            </w:r>
          </w:p>
        </w:tc>
        <w:tc>
          <w:tcPr>
            <w:tcW w:w="9861"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The Peer Group for which Total Shareholder Return is provided in column (g) is the S&amp;P 400 Capital Goods Index.</w:t>
            </w:r>
          </w:p>
        </w:tc>
      </w:tr>
    </w:tbl>
    <w:tbl>
      <w:tblPr>
        <w:tblW w:w="9197" w:type="dxa"/>
        <w:jc w:val="left"/>
        <w:tblInd w:w="0" w:type="dxa"/>
        <w:tblLayout w:type="fixed"/>
        <w:tblCellMar>
          <w:top w:w="0" w:type="dxa"/>
          <w:left w:w="0" w:type="dxa"/>
          <w:bottom w:w="0" w:type="dxa"/>
          <w:right w:w="0" w:type="dxa"/>
        </w:tblCellMar>
      </w:tblPr>
      <w:tblGrid>
        <w:gridCol w:w="346"/>
        <w:gridCol w:w="8851"/>
      </w:tblGrid>
      <w:tr>
        <w:trPr/>
        <w:tc>
          <w:tcPr>
            <w:tcW w:w="346"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(4)</w:t>
            </w:r>
          </w:p>
        </w:tc>
        <w:tc>
          <w:tcPr>
            <w:tcW w:w="8851" w:type="dxa"/>
            <w:tcBorders/>
            <w:vAlign w:val="center"/>
          </w:tcPr>
          <w:p>
            <w:pPr>
              <w:pStyle w:val="TableContents"/>
              <w:bidi w:val="0"/>
              <w:spacing w:before="0" w:after="240"/>
              <w:jc w:val="both"/>
              <w:rPr>
                <w:rFonts w:ascii="Arial;Helvetica;sans-serif" w:hAnsi="Arial;Helvetica;sans-serif"/>
                <w:sz w:val="20"/>
              </w:rPr>
            </w:pPr>
            <w:r>
              <w:rPr>
                <w:rFonts w:ascii="Arial;Helvetica;sans-serif" w:hAnsi="Arial;Helvetica;sans-serif"/>
                <w:sz w:val="20"/>
              </w:rPr>
              <w:t>Adjusted EBITDA is a Non-GAAP financial measure. (see Appendix A for a reconciliation to GAAP).</w:t>
            </w:r>
          </w:p>
        </w:tc>
      </w:tr>
    </w:tbl>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82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4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33" descr=""/>
                    <pic:cNvPicPr>
                      <a:picLocks noChangeAspect="1" noChangeArrowheads="1"/>
                    </pic:cNvPicPr>
                  </pic:nvPicPr>
                  <pic:blipFill>
                    <a:blip r:embed="rId134"/>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PAY VERSUS PERFORMANCE (“PVP”)</w:t>
      </w:r>
    </w:p>
    <w:p>
      <w:pPr>
        <w:pStyle w:val="TextBody"/>
        <w:bidi w:val="0"/>
        <w:spacing w:before="0" w:after="120"/>
        <w:ind w:left="0" w:right="0" w:hanging="0"/>
        <w:jc w:val="left"/>
        <w:rPr>
          <w:rFonts w:ascii="Arial;Helvetica;sans-serif" w:hAnsi="Arial;Helvetica;sans-serif"/>
          <w:sz w:val="24"/>
        </w:rPr>
      </w:pPr>
      <w:r>
        <w:rPr>
          <w:rFonts w:ascii="Arial;Helvetica;sans-serif" w:hAnsi="Arial;Helvetica;sans-serif"/>
          <w:sz w:val="24"/>
        </w:rPr>
        <w:t>CHARTS OF CAP VERSUS PERFORMANCE METRICS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chart below illustrates the relationship between the PEO and average Non-PEO CAP amounts and the Company’s and Peer Group’s TSR during fiscal years 2022-2026.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charts below illustrate the relationship between the PEO and Non-PEO CAP amounts and the Company’s Net Income and Adjusted EBITDA during fiscal years 2022-2026.</w:t>
      </w:r>
    </w:p>
    <w:p>
      <w:pPr>
        <w:pStyle w:val="TextBody"/>
        <w:bidi w:val="0"/>
        <w:spacing w:lineRule="auto" w:line="302" w:before="0" w:after="0"/>
        <w:ind w:left="0" w:right="540" w:hanging="0"/>
        <w:jc w:val="left"/>
        <w:rPr/>
      </w:pPr>
      <w:r>
        <w:rPr/>
        <w:t>​</w:t>
      </w:r>
    </w:p>
    <w:p>
      <w:pPr>
        <w:pStyle w:val="TextBody"/>
        <w:bidi w:val="0"/>
        <w:spacing w:before="0" w:after="0"/>
        <w:ind w:left="0" w:right="0" w:hanging="0"/>
        <w:jc w:val="center"/>
        <w:rPr/>
      </w:pPr>
      <w:r>
        <w:rPr/>
        <w:drawing>
          <wp:inline distT="0" distB="0" distL="0" distR="0">
            <wp:extent cx="5486400" cy="2748915"/>
            <wp:effectExtent l="0" t="0" r="0" b="0"/>
            <wp:docPr id="35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34" descr=""/>
                    <pic:cNvPicPr>
                      <a:picLocks noChangeAspect="1" noChangeArrowheads="1"/>
                    </pic:cNvPicPr>
                  </pic:nvPicPr>
                  <pic:blipFill>
                    <a:blip r:embed="rId135"/>
                    <a:stretch>
                      <a:fillRect/>
                    </a:stretch>
                  </pic:blipFill>
                  <pic:spPr bwMode="auto">
                    <a:xfrm>
                      <a:off x="0" y="0"/>
                      <a:ext cx="5486400" cy="2748915"/>
                    </a:xfrm>
                    <a:prstGeom prst="rect">
                      <a:avLst/>
                    </a:prstGeom>
                  </pic:spPr>
                </pic:pic>
              </a:graphicData>
            </a:graphic>
          </wp:inline>
        </w:drawing>
      </w:r>
    </w:p>
    <w:p>
      <w:pPr>
        <w:pStyle w:val="TextBody"/>
        <w:bidi w:val="0"/>
        <w:spacing w:lineRule="auto" w:line="302"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drawing>
          <wp:inline distT="0" distB="0" distL="0" distR="0">
            <wp:extent cx="5476875" cy="2744470"/>
            <wp:effectExtent l="0" t="0" r="0" b="0"/>
            <wp:docPr id="35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35" descr=""/>
                    <pic:cNvPicPr>
                      <a:picLocks noChangeAspect="1" noChangeArrowheads="1"/>
                    </pic:cNvPicPr>
                  </pic:nvPicPr>
                  <pic:blipFill>
                    <a:blip r:embed="rId136"/>
                    <a:stretch>
                      <a:fillRect/>
                    </a:stretch>
                  </pic:blipFill>
                  <pic:spPr bwMode="auto">
                    <a:xfrm>
                      <a:off x="0" y="0"/>
                      <a:ext cx="5476875" cy="2744470"/>
                    </a:xfrm>
                    <a:prstGeom prst="rect">
                      <a:avLst/>
                    </a:prstGeom>
                  </pic:spPr>
                </pic:pic>
              </a:graphicData>
            </a:graphic>
          </wp:inline>
        </w:drawing>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83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5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36" descr=""/>
                    <pic:cNvPicPr>
                      <a:picLocks noChangeAspect="1" noChangeArrowheads="1"/>
                    </pic:cNvPicPr>
                  </pic:nvPicPr>
                  <pic:blipFill>
                    <a:blip r:embed="rId137"/>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PAY VERSUS PERFORMANCE (“PVP”)</w:t>
      </w:r>
    </w:p>
    <w:p>
      <w:pPr>
        <w:pStyle w:val="TextBody"/>
        <w:bidi w:val="0"/>
        <w:spacing w:before="0" w:after="0"/>
        <w:ind w:left="0" w:right="0" w:hanging="0"/>
        <w:jc w:val="center"/>
        <w:rPr/>
      </w:pPr>
      <w:r>
        <w:rPr/>
        <w:drawing>
          <wp:inline distT="0" distB="0" distL="0" distR="0">
            <wp:extent cx="5499100" cy="2755900"/>
            <wp:effectExtent l="0" t="0" r="0" b="0"/>
            <wp:docPr id="35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37" descr=""/>
                    <pic:cNvPicPr>
                      <a:picLocks noChangeAspect="1" noChangeArrowheads="1"/>
                    </pic:cNvPicPr>
                  </pic:nvPicPr>
                  <pic:blipFill>
                    <a:blip r:embed="rId138"/>
                    <a:stretch>
                      <a:fillRect/>
                    </a:stretch>
                  </pic:blipFill>
                  <pic:spPr bwMode="auto">
                    <a:xfrm>
                      <a:off x="0" y="0"/>
                      <a:ext cx="5499100" cy="2755900"/>
                    </a:xfrm>
                    <a:prstGeom prst="rect">
                      <a:avLst/>
                    </a:prstGeom>
                  </pic:spPr>
                </pic:pic>
              </a:graphicData>
            </a:graphic>
          </wp:inline>
        </w:drawing>
      </w:r>
    </w:p>
    <w:p>
      <w:pPr>
        <w:pStyle w:val="TextBody"/>
        <w:bidi w:val="0"/>
        <w:spacing w:before="240" w:after="283"/>
        <w:ind w:left="0" w:right="0" w:hanging="0"/>
        <w:jc w:val="left"/>
        <w:rPr/>
      </w:pPr>
      <w:r>
        <w:rPr/>
        <w:t>​</w:t>
      </w:r>
    </w:p>
    <w:p>
      <w:pPr>
        <w:pStyle w:val="TextBody"/>
        <w:bidi w:val="0"/>
        <w:spacing w:before="0" w:after="120"/>
        <w:ind w:left="0" w:right="0" w:hanging="0"/>
        <w:jc w:val="left"/>
        <w:rPr>
          <w:rFonts w:ascii="Arial;Helvetica;sans-serif" w:hAnsi="Arial;Helvetica;sans-serif"/>
          <w:sz w:val="24"/>
        </w:rPr>
      </w:pPr>
      <w:r>
        <w:rPr>
          <w:rFonts w:ascii="Arial;Helvetica;sans-serif" w:hAnsi="Arial;Helvetica;sans-serif"/>
          <w:sz w:val="24"/>
        </w:rPr>
        <w:t>TABULAR LIST OF MOST IMPORTANT PERFORMANCE MEASURES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six items listed below represent the most important performance metrics we used to determine CAP for Fiscal 2026 as further described in our Compensation Discussion and Analysis (CD&amp;A).</w:t>
      </w:r>
    </w:p>
    <w:tbl>
      <w:tblPr>
        <w:tblW w:w="4216" w:type="dxa"/>
        <w:jc w:val="left"/>
        <w:tblInd w:w="0" w:type="dxa"/>
        <w:tblLayout w:type="fixed"/>
        <w:tblCellMar>
          <w:top w:w="0" w:type="dxa"/>
          <w:left w:w="0" w:type="dxa"/>
          <w:bottom w:w="0" w:type="dxa"/>
          <w:right w:w="0" w:type="dxa"/>
        </w:tblCellMar>
      </w:tblPr>
      <w:tblGrid>
        <w:gridCol w:w="421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677160" cy="175260"/>
                      <wp:effectExtent l="0" t="0" r="0" b="0"/>
                      <wp:wrapNone/>
                      <wp:docPr id="354" name="Frame217"/>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shd w:fill="E5E5E5" w:val="clear"/>
            <w:vAlign w:val="center"/>
          </w:tcPr>
          <w:p>
            <w:pPr>
              <w:pStyle w:val="TableContents"/>
              <w:bidi w:val="0"/>
              <w:spacing w:before="60" w:after="100"/>
              <w:ind w:left="0" w:right="0" w:hanging="0"/>
              <w:jc w:val="center"/>
              <w:rPr>
                <w:rFonts w:ascii="Arial;Helvetica;sans-serif" w:hAnsi="Arial;Helvetica;sans-serif"/>
                <w:b/>
                <w:sz w:val="20"/>
              </w:rPr>
            </w:pPr>
            <w:r>
              <w:rPr>
                <w:rFonts w:ascii="Arial;Helvetica;sans-serif" w:hAnsi="Arial;Helvetica;sans-serif"/>
                <w:b/>
                <w:sz w:val="20"/>
              </w:rPr>
              <w:t>Most Important Performance Measures</w:t>
            </w:r>
          </w:p>
        </w:tc>
      </w:tr>
      <w:tr>
        <w:trPr/>
        <w:tc>
          <w:tcPr>
            <w:tcW w:w="4216" w:type="dxa"/>
            <w:tcBorders/>
            <w:vAlign w:val="center"/>
          </w:tcPr>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EBITDA</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Primary Working Capital as a Percent of Sales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Revenue</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EBIT</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EBITDA Margin</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ROIC</w:t>
            </w:r>
          </w:p>
        </w:tc>
      </w:tr>
    </w:tbl>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84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5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38" descr=""/>
                    <pic:cNvPicPr>
                      <a:picLocks noChangeAspect="1" noChangeArrowheads="1"/>
                    </pic:cNvPicPr>
                  </pic:nvPicPr>
                  <pic:blipFill>
                    <a:blip r:embed="rId139"/>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b/>
          <w:sz w:val="20"/>
        </w:rPr>
      </w:pPr>
      <w:r>
        <w:rPr>
          <w:rFonts w:ascii="Arial;Helvetica;sans-serif" w:hAnsi="Arial;Helvetica;sans-serif"/>
          <w:b/>
          <w:sz w:val="20"/>
        </w:rPr>
        <w:t>PAY VERSUS PERFORMANCE (“PVP”)</w:t>
      </w:r>
    </w:p>
    <w:p>
      <w:pPr>
        <w:pStyle w:val="TextBody"/>
        <w:bidi w:val="0"/>
        <w:spacing w:before="0" w:after="120"/>
        <w:ind w:left="0" w:right="0" w:hanging="0"/>
        <w:jc w:val="left"/>
        <w:rPr>
          <w:rFonts w:ascii="Arial;Helvetica;sans-serif" w:hAnsi="Arial;Helvetica;sans-serif"/>
          <w:sz w:val="24"/>
        </w:rPr>
      </w:pPr>
      <w:r>
        <w:rPr>
          <w:rFonts w:ascii="Arial;Helvetica;sans-serif" w:hAnsi="Arial;Helvetica;sans-serif"/>
          <w:sz w:val="24"/>
        </w:rPr>
        <w:t>SUPPLEMENTAL DISCLOSURE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charts below illustrate the relationship between the PEOs’ and other NEOs’ SCT Total Compensation, total shareholder return, and CAP amounts during fiscal year 2022-2026. This relationship reflects the impact of changes in the Company’s stock price performance on the amount of Compensation Actually Paid in each year in relation to the amount reported in the Summary Compensation Table for the current PEO and other NEOs.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drawing>
          <wp:inline distT="0" distB="0" distL="0" distR="0">
            <wp:extent cx="5486400" cy="2748915"/>
            <wp:effectExtent l="0" t="0" r="0" b="0"/>
            <wp:docPr id="35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39" descr=""/>
                    <pic:cNvPicPr>
                      <a:picLocks noChangeAspect="1" noChangeArrowheads="1"/>
                    </pic:cNvPicPr>
                  </pic:nvPicPr>
                  <pic:blipFill>
                    <a:blip r:embed="rId140"/>
                    <a:stretch>
                      <a:fillRect/>
                    </a:stretch>
                  </pic:blipFill>
                  <pic:spPr bwMode="auto">
                    <a:xfrm>
                      <a:off x="0" y="0"/>
                      <a:ext cx="5486400" cy="274891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drawing>
          <wp:inline distT="0" distB="0" distL="0" distR="0">
            <wp:extent cx="5486400" cy="2748915"/>
            <wp:effectExtent l="0" t="0" r="0" b="0"/>
            <wp:docPr id="35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40" descr=""/>
                    <pic:cNvPicPr>
                      <a:picLocks noChangeAspect="1" noChangeArrowheads="1"/>
                    </pic:cNvPicPr>
                  </pic:nvPicPr>
                  <pic:blipFill>
                    <a:blip r:embed="rId141"/>
                    <a:stretch>
                      <a:fillRect/>
                    </a:stretch>
                  </pic:blipFill>
                  <pic:spPr bwMode="auto">
                    <a:xfrm>
                      <a:off x="0" y="0"/>
                      <a:ext cx="5486400" cy="274891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85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5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41" descr=""/>
                    <pic:cNvPicPr>
                      <a:picLocks noChangeAspect="1" noChangeArrowheads="1"/>
                    </pic:cNvPicPr>
                  </pic:nvPicPr>
                  <pic:blipFill>
                    <a:blip r:embed="rId142"/>
                    <a:stretch>
                      <a:fillRect/>
                    </a:stretch>
                  </pic:blipFill>
                  <pic:spPr bwMode="auto">
                    <a:xfrm>
                      <a:off x="0" y="0"/>
                      <a:ext cx="6858000" cy="480695"/>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32"/>
        </w:rPr>
      </w:pPr>
      <w:bookmarkStart w:id="531" w:name="ProposalIIINonBindingAdvisoryVote_371511"/>
      <w:bookmarkStart w:id="532" w:name="_dd60ec65_30ec_4f49_af03_cf09dbe13b80"/>
      <w:bookmarkEnd w:id="531"/>
      <w:bookmarkEnd w:id="532"/>
      <w:r>
        <w:rPr>
          <w:rFonts w:ascii="Arial;Helvetica;sans-serif" w:hAnsi="Arial;Helvetica;sans-serif"/>
          <w:b/>
          <w:sz w:val="32"/>
        </w:rPr>
        <w:t xml:space="preserve">Proposal III. Non-Binding (Advisory) Vote to Approve the Compensation Paid to the Company’s Named Executive Officers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Our shareowners have the opportunity to vote to approve on a non-binding, advisory basis, the compensation paid to our named executive officers as disclosed in the Compensation Discussion and Analysis and the Executive Compensation section of this Proxy Statement, as required by Section 14A of the Exchange Act. This “Say on Pay” vote is not intended to address any specific item of compensation, but rather the overall compensation of our NEOs and our compensation philosophy, policies and practices as disclosed in this Proxy Statement pursuant to the compensation disclosure rules of the SEC, including the CD&amp;A and the compensation tables and narrative included in the Executive Compensation section of this Proxy Statement.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At our 2023 annual meeting of shareowners, the Company held an advisory (non-binding) vote to determine the frequency of future Say on Pay votes. Based on the voting results for that proposal at the 2023 annual meeting, the Board determined that the Say on Pay vote will be conducted annually until the next advisory vote is held to determine the frequency of the Say on Pay vote, which will occur no later than our 2029 annual meeting of shareowners. We expect that the next Say on Pay vote will occur at the 2027 annual meeting.</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believe that our CD&amp;A and other compensation disclosures included in this Proxy Statement evidence a sound and prudent compensation philosophy and set of policies and practices and that our compensation decisions are consistent with our “Pay-for-Performance” philosophy and related policies and practices. We also believe that the Company’s compensation programs effectively align the interests of our executive officers with those of our shareowners by tying a significant portion of our executives’ compensation to the Company’s performance and by providing a competitive level of compensation needed to recruit, retain and motivate talented executives critical to the Company’s long-term success.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For the foregoing reasons, we are asking our shareowners to indicate their approval, on an advisory basis, of the compensation paid to our NEOs as disclosed in this Proxy Statement pursuant to Item 402 of Regulation S-K, including the CD&amp;A and the compensation tables and narrative following the CD&amp;A. While this vote is non-binding, the Company values the opinions of its shareowners and will consider the outcome of the vote when making future decisions concerning executive compensation.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compensation paid to our named executive officers, as disclosed in this Proxy Statement, will be approved (on a non-binding advisory basis) if the proposal receives the affirmative vote of at least a majority of the votes cast by shareowners present, virtually or by proxy, at the Annual Meeting. Abstentions and broker non-votes will not be counted as votes cast either for or against the proposal.</w:t>
      </w:r>
    </w:p>
    <w:tbl>
      <w:tblPr>
        <w:tblW w:w="10205" w:type="dxa"/>
        <w:jc w:val="left"/>
        <w:tblInd w:w="0" w:type="dxa"/>
        <w:tblLayout w:type="fixed"/>
        <w:tblCellMar>
          <w:top w:w="0" w:type="dxa"/>
          <w:left w:w="0" w:type="dxa"/>
          <w:bottom w:w="0" w:type="dxa"/>
          <w:right w:w="0" w:type="dxa"/>
        </w:tblCellMar>
      </w:tblPr>
      <w:tblGrid>
        <w:gridCol w:w="519"/>
        <w:gridCol w:w="226"/>
        <w:gridCol w:w="9460"/>
      </w:tblGrid>
      <w:tr>
        <w:trPr/>
        <w:tc>
          <w:tcPr>
            <w:tcW w:w="51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460" w:type="dxa"/>
            <w:tcBorders/>
            <w:vAlign w:val="center"/>
          </w:tcPr>
          <w:p>
            <w:pPr>
              <w:pStyle w:val="TableContents"/>
              <w:bidi w:val="0"/>
              <w:spacing w:before="0" w:after="0"/>
              <w:ind w:left="0" w:right="0" w:hanging="0"/>
              <w:jc w:val="left"/>
              <w:rPr/>
            </w:pPr>
            <w:r>
              <w:rPr/>
              <w:t>​</w:t>
            </w:r>
          </w:p>
        </w:tc>
      </w:tr>
      <w:tr>
        <w:trPr/>
        <w:tc>
          <w:tcPr>
            <w:tcW w:w="519" w:type="dxa"/>
            <w:tcBorders/>
            <w:vAlign w:val="center"/>
          </w:tcPr>
          <w:p>
            <w:pPr>
              <w:pStyle w:val="TableContents"/>
              <w:bidi w:val="0"/>
              <w:spacing w:before="0" w:after="0"/>
              <w:ind w:left="0" w:right="0" w:hanging="0"/>
              <w:jc w:val="left"/>
              <w:rPr/>
            </w:pPr>
            <w:r>
              <w:rPr/>
              <w:drawing>
                <wp:inline distT="0" distB="0" distL="0" distR="0">
                  <wp:extent cx="265430" cy="265430"/>
                  <wp:effectExtent l="0" t="0" r="0" b="0"/>
                  <wp:docPr id="35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42" descr=""/>
                          <pic:cNvPicPr>
                            <a:picLocks noChangeAspect="1" noChangeArrowheads="1"/>
                          </pic:cNvPicPr>
                        </pic:nvPicPr>
                        <pic:blipFill>
                          <a:blip r:embed="rId143"/>
                          <a:stretch>
                            <a:fillRect/>
                          </a:stretch>
                        </pic:blipFill>
                        <pic:spPr bwMode="auto">
                          <a:xfrm>
                            <a:off x="0" y="0"/>
                            <a:ext cx="265430" cy="265430"/>
                          </a:xfrm>
                          <a:prstGeom prst="rect">
                            <a:avLst/>
                          </a:prstGeom>
                        </pic:spPr>
                      </pic:pic>
                    </a:graphicData>
                  </a:graphic>
                </wp:inline>
              </w:drawing>
            </w:r>
          </w:p>
        </w:tc>
        <w:tc>
          <w:tcPr>
            <w:tcW w:w="226" w:type="dxa"/>
            <w:tcBorders/>
            <w:vAlign w:val="center"/>
          </w:tcPr>
          <w:p>
            <w:pPr>
              <w:pStyle w:val="TableContents"/>
              <w:bidi w:val="0"/>
              <w:spacing w:before="0" w:after="0"/>
              <w:ind w:left="0" w:right="0" w:hanging="0"/>
              <w:jc w:val="left"/>
              <w:rPr/>
            </w:pPr>
            <w:r>
              <w:rPr/>
              <w:t>  ​</w:t>
            </w:r>
          </w:p>
        </w:tc>
        <w:tc>
          <w:tcPr>
            <w:tcW w:w="9460" w:type="dxa"/>
            <w:tcBorders/>
            <w:vAlign w:val="center"/>
          </w:tcPr>
          <w:p>
            <w:pPr>
              <w:pStyle w:val="TableContents"/>
              <w:bidi w:val="0"/>
              <w:spacing w:before="0" w:after="0"/>
              <w:ind w:left="0" w:right="0" w:hanging="0"/>
              <w:jc w:val="left"/>
              <w:rPr>
                <w:rFonts w:ascii="Arial;Helvetica;sans-serif" w:hAnsi="Arial;Helvetica;sans-serif"/>
                <w:sz w:val="28"/>
              </w:rPr>
            </w:pPr>
            <w:r>
              <w:rPr>
                <w:rFonts w:ascii="Arial;Helvetica;sans-serif" w:hAnsi="Arial;Helvetica;sans-serif"/>
                <w:sz w:val="28"/>
              </w:rPr>
              <w:t>THE BOARD OF DIRECTORS UNANIMOUSLY RECOMMENDS A VOTE FOR (ON A NON-BINDING, ADVISORY BASIS) THE COMPENSATION PAID TO THE COMPANY’S NAMED EXECUTIVE OFFICERS AS DISCLOSED IN THIS PROXY STATEMENT PURSUANT TO ITEM 402 OF REGULATION S-K, INCLUDING THE CD&amp;A AND COMPENSATION TABLES AND NARRATIVE FOLLOWING THE CD&amp;A.</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86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6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43" descr=""/>
                    <pic:cNvPicPr>
                      <a:picLocks noChangeAspect="1" noChangeArrowheads="1"/>
                    </pic:cNvPicPr>
                  </pic:nvPicPr>
                  <pic:blipFill>
                    <a:blip r:embed="rId144"/>
                    <a:stretch>
                      <a:fillRect/>
                    </a:stretch>
                  </pic:blipFill>
                  <pic:spPr bwMode="auto">
                    <a:xfrm>
                      <a:off x="0" y="0"/>
                      <a:ext cx="6876415" cy="474980"/>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b/>
          <w:sz w:val="32"/>
        </w:rPr>
      </w:pPr>
      <w:bookmarkStart w:id="533" w:name="OwnershipofCapitalStockbyDirectorsNomine"/>
      <w:bookmarkStart w:id="534" w:name="_bcf3a3f7_a378_4fda_b81d_ecb1ff783c3c"/>
      <w:bookmarkEnd w:id="533"/>
      <w:bookmarkEnd w:id="534"/>
      <w:r>
        <w:rPr>
          <w:rFonts w:ascii="Arial;Helvetica;sans-serif" w:hAnsi="Arial;Helvetica;sans-serif"/>
          <w:b/>
          <w:sz w:val="32"/>
        </w:rPr>
        <w:t xml:space="preserve">Ownership of Capital Stock by Directors, Nominees and Executive Officers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sets forth beneficial ownership information as of August 15, 2026 for our directors, nominees, NEOs and all directors and executive officers as a group.</w:t>
      </w:r>
    </w:p>
    <w:tbl>
      <w:tblPr>
        <w:tblW w:w="10205" w:type="dxa"/>
        <w:jc w:val="left"/>
        <w:tblInd w:w="0" w:type="dxa"/>
        <w:tblLayout w:type="fixed"/>
        <w:tblCellMar>
          <w:top w:w="0" w:type="dxa"/>
          <w:left w:w="0" w:type="dxa"/>
          <w:bottom w:w="0" w:type="dxa"/>
          <w:right w:w="0" w:type="dxa"/>
        </w:tblCellMar>
      </w:tblPr>
      <w:tblGrid>
        <w:gridCol w:w="3780"/>
        <w:gridCol w:w="226"/>
        <w:gridCol w:w="1336"/>
        <w:gridCol w:w="226"/>
        <w:gridCol w:w="835"/>
        <w:gridCol w:w="226"/>
        <w:gridCol w:w="1111"/>
        <w:gridCol w:w="226"/>
        <w:gridCol w:w="916"/>
        <w:gridCol w:w="226"/>
        <w:gridCol w:w="1097"/>
      </w:tblGrid>
      <w:tr>
        <w:trPr/>
        <w:tc>
          <w:tcPr>
            <w:tcW w:w="3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400300" cy="175260"/>
                      <wp:effectExtent l="0" t="0" r="0" b="0"/>
                      <wp:wrapNone/>
                      <wp:docPr id="361" name="Frame218"/>
                      <a:graphic xmlns:a="http://schemas.openxmlformats.org/drawingml/2006/main">
                        <a:graphicData uri="http://schemas.microsoft.com/office/word/2010/wordprocessingShape">
                          <wps:wsp>
                            <wps:cNvSpPr txBox="1"/>
                            <wps:spPr>
                              <a:xfrm>
                                <a:off x="0" y="0"/>
                                <a:ext cx="2400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43510" cy="175260"/>
                      <wp:effectExtent l="0" t="0" r="0" b="0"/>
                      <wp:wrapNone/>
                      <wp:docPr id="362" name="Frame2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848360" cy="175260"/>
                      <wp:effectExtent l="0" t="0" r="0" b="0"/>
                      <wp:wrapNone/>
                      <wp:docPr id="363" name="Frame220"/>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43510" cy="175260"/>
                      <wp:effectExtent l="0" t="0" r="0" b="0"/>
                      <wp:wrapNone/>
                      <wp:docPr id="364" name="Frame2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30225" cy="175260"/>
                      <wp:effectExtent l="0" t="0" r="0" b="0"/>
                      <wp:wrapNone/>
                      <wp:docPr id="365" name="Frame22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43510" cy="175260"/>
                      <wp:effectExtent l="0" t="0" r="0" b="0"/>
                      <wp:wrapNone/>
                      <wp:docPr id="366" name="Frame2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705485" cy="175260"/>
                      <wp:effectExtent l="0" t="0" r="0" b="0"/>
                      <wp:wrapNone/>
                      <wp:docPr id="367" name="Frame22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43510" cy="175260"/>
                      <wp:effectExtent l="0" t="0" r="0" b="0"/>
                      <wp:wrapNone/>
                      <wp:docPr id="368" name="Frame2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81660" cy="175260"/>
                      <wp:effectExtent l="0" t="0" r="0" b="0"/>
                      <wp:wrapNone/>
                      <wp:docPr id="369" name="Frame2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43510" cy="175260"/>
                      <wp:effectExtent l="0" t="0" r="0" b="0"/>
                      <wp:wrapNone/>
                      <wp:docPr id="370" name="Frame2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6595" cy="175260"/>
                      <wp:effectExtent l="0" t="0" r="0" b="0"/>
                      <wp:wrapNone/>
                      <wp:docPr id="371" name="Frame228"/>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0"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3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 Beneficial</w:t>
            </w:r>
          </w:p>
        </w:tc>
        <w:tc>
          <w:tcPr>
            <w:tcW w:w="226" w:type="dxa"/>
            <w:tcBorders/>
            <w:shd w:fill="E5E5E5" w:val="clear"/>
            <w:vAlign w:val="center"/>
          </w:tcPr>
          <w:p>
            <w:pPr>
              <w:pStyle w:val="TableContents"/>
              <w:bidi w:val="0"/>
              <w:spacing w:before="0" w:after="0"/>
              <w:ind w:left="0" w:right="0" w:hanging="0"/>
              <w:jc w:val="left"/>
              <w:rPr/>
            </w:pPr>
            <w:r>
              <w:rPr/>
              <w:t>​</w:t>
            </w:r>
          </w:p>
        </w:tc>
        <w:tc>
          <w:tcPr>
            <w:tcW w:w="835"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111"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91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09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780"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3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Ownership of</w:t>
            </w:r>
          </w:p>
        </w:tc>
        <w:tc>
          <w:tcPr>
            <w:tcW w:w="226" w:type="dxa"/>
            <w:tcBorders/>
            <w:shd w:fill="E5E5E5" w:val="clear"/>
            <w:vAlign w:val="center"/>
          </w:tcPr>
          <w:p>
            <w:pPr>
              <w:pStyle w:val="TableContents"/>
              <w:bidi w:val="0"/>
              <w:spacing w:before="0" w:after="0"/>
              <w:ind w:left="0" w:right="0" w:hanging="0"/>
              <w:jc w:val="left"/>
              <w:rPr/>
            </w:pPr>
            <w:r>
              <w:rPr/>
              <w:t>​</w:t>
            </w:r>
          </w:p>
        </w:tc>
        <w:tc>
          <w:tcPr>
            <w:tcW w:w="835"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1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Performance</w:t>
            </w:r>
          </w:p>
        </w:tc>
        <w:tc>
          <w:tcPr>
            <w:tcW w:w="226" w:type="dxa"/>
            <w:tcBorders/>
            <w:shd w:fill="E5E5E5" w:val="clear"/>
            <w:vAlign w:val="center"/>
          </w:tcPr>
          <w:p>
            <w:pPr>
              <w:pStyle w:val="TableContents"/>
              <w:bidi w:val="0"/>
              <w:spacing w:before="0" w:after="0"/>
              <w:ind w:left="0" w:right="0" w:hanging="0"/>
              <w:jc w:val="left"/>
              <w:rPr/>
            </w:pPr>
            <w:r>
              <w:rPr/>
              <w:t>​</w:t>
            </w:r>
          </w:p>
        </w:tc>
        <w:tc>
          <w:tcPr>
            <w:tcW w:w="916" w:type="dxa"/>
            <w:tcBorders/>
            <w:shd w:fill="E5E5E5" w:val="clear"/>
            <w:vAlign w:val="center"/>
          </w:tcPr>
          <w:p>
            <w:pPr>
              <w:pStyle w:val="TableContents"/>
              <w:bidi w:val="0"/>
              <w:spacing w:before="0" w:after="0"/>
              <w:ind w:left="0" w:right="0" w:hanging="0"/>
              <w:jc w:val="center"/>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09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Ownership</w:t>
            </w:r>
          </w:p>
        </w:tc>
      </w:tr>
      <w:tr>
        <w:trPr/>
        <w:tc>
          <w:tcPr>
            <w:tcW w:w="3780"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w:t>
            </w:r>
          </w:p>
        </w:tc>
        <w:tc>
          <w:tcPr>
            <w:tcW w:w="133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226" w:type="dxa"/>
            <w:tcBorders/>
            <w:shd w:fill="E5E5E5" w:val="clear"/>
            <w:vAlign w:val="center"/>
          </w:tcPr>
          <w:p>
            <w:pPr>
              <w:pStyle w:val="TableContents"/>
              <w:bidi w:val="0"/>
              <w:spacing w:before="0" w:after="0"/>
              <w:ind w:left="0" w:right="0" w:hanging="0"/>
              <w:jc w:val="left"/>
              <w:rPr/>
            </w:pPr>
            <w:r>
              <w:rPr/>
              <w:t>​</w:t>
            </w:r>
          </w:p>
        </w:tc>
        <w:tc>
          <w:tcPr>
            <w:tcW w:w="835"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226" w:type="dxa"/>
            <w:tcBorders/>
            <w:shd w:fill="E5E5E5" w:val="clear"/>
            <w:vAlign w:val="center"/>
          </w:tcPr>
          <w:p>
            <w:pPr>
              <w:pStyle w:val="TableContents"/>
              <w:bidi w:val="0"/>
              <w:spacing w:before="0" w:after="0"/>
              <w:ind w:left="0" w:right="0" w:hanging="0"/>
              <w:jc w:val="left"/>
              <w:rPr/>
            </w:pPr>
            <w:r>
              <w:rPr/>
              <w:t>​</w:t>
            </w:r>
          </w:p>
        </w:tc>
        <w:tc>
          <w:tcPr>
            <w:tcW w:w="11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Unit</w:t>
            </w:r>
          </w:p>
        </w:tc>
        <w:tc>
          <w:tcPr>
            <w:tcW w:w="226" w:type="dxa"/>
            <w:tcBorders/>
            <w:shd w:fill="E5E5E5" w:val="clear"/>
            <w:vAlign w:val="center"/>
          </w:tcPr>
          <w:p>
            <w:pPr>
              <w:pStyle w:val="TableContents"/>
              <w:bidi w:val="0"/>
              <w:spacing w:before="0" w:after="0"/>
              <w:ind w:left="0" w:right="0" w:hanging="0"/>
              <w:jc w:val="left"/>
              <w:rPr/>
            </w:pPr>
            <w:r>
              <w:rPr/>
              <w:t>​</w:t>
            </w:r>
          </w:p>
        </w:tc>
        <w:tc>
          <w:tcPr>
            <w:tcW w:w="9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c>
          <w:tcPr>
            <w:tcW w:w="226" w:type="dxa"/>
            <w:tcBorders/>
            <w:shd w:fill="E5E5E5" w:val="clear"/>
            <w:vAlign w:val="center"/>
          </w:tcPr>
          <w:p>
            <w:pPr>
              <w:pStyle w:val="TableContents"/>
              <w:bidi w:val="0"/>
              <w:spacing w:before="0" w:after="0"/>
              <w:ind w:left="0" w:right="0" w:hanging="0"/>
              <w:jc w:val="left"/>
              <w:rPr/>
            </w:pPr>
            <w:r>
              <w:rPr/>
              <w:t>​</w:t>
            </w:r>
          </w:p>
        </w:tc>
        <w:tc>
          <w:tcPr>
            <w:tcW w:w="109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of Common</w:t>
            </w:r>
          </w:p>
        </w:tc>
      </w:tr>
      <w:tr>
        <w:trPr/>
        <w:tc>
          <w:tcPr>
            <w:tcW w:w="3780"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 of Beneficial Owner</w:t>
            </w:r>
          </w:p>
        </w:tc>
        <w:tc>
          <w:tcPr>
            <w:tcW w:w="226" w:type="dxa"/>
            <w:tcBorders/>
            <w:shd w:fill="E5E5E5" w:val="clear"/>
            <w:vAlign w:val="center"/>
          </w:tcPr>
          <w:p>
            <w:pPr>
              <w:pStyle w:val="TableContents"/>
              <w:bidi w:val="0"/>
              <w:spacing w:before="0" w:after="0"/>
              <w:ind w:left="0" w:right="0" w:hanging="0"/>
              <w:jc w:val="left"/>
              <w:rPr/>
            </w:pPr>
            <w:r>
              <w:rPr/>
              <w:t>  ​</w:t>
            </w:r>
          </w:p>
        </w:tc>
        <w:tc>
          <w:tcPr>
            <w:tcW w:w="133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Stock(1)</w:t>
            </w:r>
          </w:p>
        </w:tc>
        <w:tc>
          <w:tcPr>
            <w:tcW w:w="226" w:type="dxa"/>
            <w:tcBorders/>
            <w:shd w:fill="E5E5E5" w:val="clear"/>
            <w:vAlign w:val="center"/>
          </w:tcPr>
          <w:p>
            <w:pPr>
              <w:pStyle w:val="TableContents"/>
              <w:bidi w:val="0"/>
              <w:spacing w:before="0" w:after="0"/>
              <w:ind w:left="0" w:right="0" w:hanging="0"/>
              <w:jc w:val="left"/>
              <w:rPr/>
            </w:pPr>
            <w:r>
              <w:rPr/>
              <w:t>  ​</w:t>
            </w:r>
          </w:p>
        </w:tc>
        <w:tc>
          <w:tcPr>
            <w:tcW w:w="835"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Credits(2)</w:t>
            </w:r>
          </w:p>
        </w:tc>
        <w:tc>
          <w:tcPr>
            <w:tcW w:w="226" w:type="dxa"/>
            <w:tcBorders/>
            <w:shd w:fill="E5E5E5" w:val="clear"/>
            <w:vAlign w:val="center"/>
          </w:tcPr>
          <w:p>
            <w:pPr>
              <w:pStyle w:val="TableContents"/>
              <w:bidi w:val="0"/>
              <w:spacing w:before="0" w:after="0"/>
              <w:ind w:left="0" w:right="0" w:hanging="0"/>
              <w:jc w:val="left"/>
              <w:rPr/>
            </w:pPr>
            <w:r>
              <w:rPr/>
              <w:t>  ​</w:t>
            </w:r>
          </w:p>
        </w:tc>
        <w:tc>
          <w:tcPr>
            <w:tcW w:w="1111"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Awards(3)</w:t>
            </w:r>
          </w:p>
        </w:tc>
        <w:tc>
          <w:tcPr>
            <w:tcW w:w="226" w:type="dxa"/>
            <w:tcBorders/>
            <w:shd w:fill="E5E5E5" w:val="clear"/>
            <w:vAlign w:val="center"/>
          </w:tcPr>
          <w:p>
            <w:pPr>
              <w:pStyle w:val="TableContents"/>
              <w:bidi w:val="0"/>
              <w:spacing w:before="0" w:after="0"/>
              <w:ind w:left="0" w:right="0" w:hanging="0"/>
              <w:jc w:val="left"/>
              <w:rPr/>
            </w:pPr>
            <w:r>
              <w:rPr/>
              <w:t>  ​</w:t>
            </w:r>
          </w:p>
        </w:tc>
        <w:tc>
          <w:tcPr>
            <w:tcW w:w="916"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Units(4)</w:t>
            </w:r>
          </w:p>
        </w:tc>
        <w:tc>
          <w:tcPr>
            <w:tcW w:w="226" w:type="dxa"/>
            <w:tcBorders/>
            <w:shd w:fill="E5E5E5" w:val="clear"/>
            <w:vAlign w:val="center"/>
          </w:tcPr>
          <w:p>
            <w:pPr>
              <w:pStyle w:val="TableContents"/>
              <w:bidi w:val="0"/>
              <w:spacing w:before="0" w:after="0"/>
              <w:ind w:left="0" w:right="0" w:hanging="0"/>
              <w:jc w:val="left"/>
              <w:rPr/>
            </w:pPr>
            <w:r>
              <w:rPr/>
              <w:t>  ​</w:t>
            </w:r>
          </w:p>
        </w:tc>
        <w:tc>
          <w:tcPr>
            <w:tcW w:w="1097" w:type="dxa"/>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Stock(5)</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Sanjay Chowbey</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144,068</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95,771</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170,961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410,800</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Joseph Alvarado</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36,257</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11,498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47,755</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Lorraine M. Martin</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48,975</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11,498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60,473</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Michelle R. Keating</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40,437</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15,632</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41,155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97,224</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Patrick Watson</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59,896</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22,110</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56,127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138,133</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Sternlieb</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13,898</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11,558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25,456</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Sagar A. Patel</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24,327</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24,327</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M. Lambert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82,898</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11,498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94,396</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Douglas T. Dietrich</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816</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16,968</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19,466</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Shelley Bausch</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16,782</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16,782</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Faisal Hamadi</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10,048</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11,592</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38,202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59,842</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Clark David Bersaglini</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5,852</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16,261</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58,938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81,051</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Dawne Hickton</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Richard Harshman</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r>
      <w:tr>
        <w:trPr/>
        <w:tc>
          <w:tcPr>
            <w:tcW w:w="3780"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Directors and Executive Officers as a Group (18 persons)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33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491,577</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58,078</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190,262</w:t>
            </w:r>
          </w:p>
        </w:tc>
        <w:tc>
          <w:tcPr>
            <w:tcW w:w="226" w:type="dxa"/>
            <w:tcBorders>
              <w:bottom w:val="single" w:sz="12" w:space="0" w:color="7F7F7F"/>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519,140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7F7F7F"/>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1,259,057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individual beneficially owns in excess of one percent of the total shares outstanding. Directors and executive officers as a group beneficially own less than one percent of the total shares outstanding as of August 15, 2026. Unless otherwise noted, the shares shown are subject to the sole voting and investment power of the person named.</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column represents shares of common stock to which the individuals are entitled pursuant to their election to defer fees or bonuses as stock credits under the Directors Stock Incentive Plan, the AIP or its predecessor, the Performance Bonus Stock Plan, 2020 Plan or the 2024 Plan.</w:t>
            </w:r>
          </w:p>
        </w:tc>
      </w:tr>
    </w:tbl>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87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7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44" descr=""/>
                    <pic:cNvPicPr>
                      <a:picLocks noChangeAspect="1" noChangeArrowheads="1"/>
                    </pic:cNvPicPr>
                  </pic:nvPicPr>
                  <pic:blipFill>
                    <a:blip r:embed="rId145"/>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OWNERSHIP OF CAPITAL STOCK BY DIRECTORS, NOMINEES AND EXECUTIVE OFFICERS</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column represents FY25 and FY26 PSUs that have been deemed earned by the Compensation and Human Capital Committee, but remain subject to the continued service condition of such awards. Holders of these PSUs have neither voting power nor investment power over these units, so they are not included in the “Total Beneficial Ownership” amounts included in the table. We show them because we include them in ownership calculations for internal purposes and they count towards the satisfaction of ownership requirements under our Stock Ownership Guidelines.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column represents RSUs that were awarded to executives and directors under the 2020 Plan and the 2024 Plan. Holders of RSUs have neither voting power nor investment power over these units, so they are not included in the “Total Beneficial Ownership” amounts included in the table. We show them because we include them in ownership calculations for internal purposes and they count towards the satisfaction of ownership requirements under our Stock Ownership Guidelines.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column includes the shares reported in the “Total Beneficial Ownership” column, as well as the stock credits, PSU awards and the RSUs columns. These numbers (excluding the options that will become exercisable within 60 days which are included in the “Total Beneficial Ownership” amounts included in the table) are used for purposes of determining compliance with our Stock Ownership Guidelines.</w:t>
            </w:r>
          </w:p>
        </w:tc>
      </w:tr>
    </w:tbl>
    <w:p>
      <w:pPr>
        <w:pStyle w:val="TextBody"/>
        <w:bidi w:val="0"/>
        <w:spacing w:before="0" w:after="240"/>
        <w:ind w:left="504" w:right="0" w:hanging="0"/>
        <w:jc w:val="both"/>
        <w:rPr/>
      </w:pPr>
      <w:r>
        <w:rPr/>
        <w:t>​</w:t>
      </w:r>
    </w:p>
    <w:p>
      <w:pPr>
        <w:pStyle w:val="TextBody"/>
        <w:bidi w:val="0"/>
        <w:spacing w:before="0" w:after="240"/>
        <w:ind w:left="504"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88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7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45" descr=""/>
                    <pic:cNvPicPr>
                      <a:picLocks noChangeAspect="1" noChangeArrowheads="1"/>
                    </pic:cNvPicPr>
                  </pic:nvPicPr>
                  <pic:blipFill>
                    <a:blip r:embed="rId146"/>
                    <a:stretch>
                      <a:fillRect/>
                    </a:stretch>
                  </pic:blipFill>
                  <pic:spPr bwMode="auto">
                    <a:xfrm>
                      <a:off x="0" y="0"/>
                      <a:ext cx="6876415" cy="474980"/>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535" w:name="PrincipalHoldersofVotingSecurities_76241"/>
      <w:bookmarkStart w:id="536" w:name="_a3fe6b92_3d0a_41a6_a0ed_aa0874f2e422"/>
      <w:bookmarkEnd w:id="535"/>
      <w:bookmarkEnd w:id="536"/>
      <w:r>
        <w:rPr>
          <w:rFonts w:ascii="Arial;Helvetica;sans-serif" w:hAnsi="Arial;Helvetica;sans-serif"/>
          <w:b/>
          <w:sz w:val="20"/>
        </w:rPr>
        <w:t>Principal Holders of Voting Securities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following table sets forth each person or entity that may be deemed to have beneficial ownership of more than 5% of our outstanding capital stock based upon information that was available to us as of August 15, 2026 in addition to the information in the filings as indicated in the footnotes below. The date of their ownership is as indicated in such footnotes.</w:t>
      </w:r>
    </w:p>
    <w:tbl>
      <w:tblPr>
        <w:tblW w:w="6711" w:type="dxa"/>
        <w:jc w:val="left"/>
        <w:tblInd w:w="0" w:type="dxa"/>
        <w:tblLayout w:type="fixed"/>
        <w:tblCellMar>
          <w:top w:w="0" w:type="dxa"/>
          <w:left w:w="0" w:type="dxa"/>
          <w:bottom w:w="0" w:type="dxa"/>
          <w:right w:w="0" w:type="dxa"/>
        </w:tblCellMar>
      </w:tblPr>
      <w:tblGrid>
        <w:gridCol w:w="3406"/>
        <w:gridCol w:w="346"/>
        <w:gridCol w:w="1066"/>
        <w:gridCol w:w="346"/>
        <w:gridCol w:w="1156"/>
        <w:gridCol w:w="39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62810" cy="175260"/>
                      <wp:effectExtent l="0" t="0" r="0" b="0"/>
                      <wp:wrapNone/>
                      <wp:docPr id="374" name="Frame229"/>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75"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76910" cy="175260"/>
                      <wp:effectExtent l="0" t="0" r="0" b="0"/>
                      <wp:wrapNone/>
                      <wp:docPr id="376" name="Frame23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77"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34060" cy="175260"/>
                      <wp:effectExtent l="0" t="0" r="0" b="0"/>
                      <wp:wrapNone/>
                      <wp:docPr id="378" name="Frame23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48285" cy="175260"/>
                      <wp:effectExtent l="0" t="0" r="0" b="0"/>
                      <wp:wrapNone/>
                      <wp:docPr id="379" name="Frame23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pPr>
            <w:r>
              <w:rPr/>
              <w:t>​</w:t>
            </w:r>
          </w:p>
        </w:tc>
        <w:tc>
          <w:tcPr>
            <w:tcW w:w="391" w:type="dxa"/>
            <w:tcBorders/>
            <w:shd w:fill="E5E5E5" w:val="clear"/>
            <w:vAlign w:val="center"/>
          </w:tcPr>
          <w:p>
            <w:pPr>
              <w:pStyle w:val="TableContents"/>
              <w:bidi w:val="0"/>
              <w:spacing w:before="0" w:after="1"/>
              <w:ind w:left="0" w:right="0" w:hanging="0"/>
              <w:jc w:val="left"/>
              <w:rPr/>
            </w:pPr>
            <w:r>
              <w:rPr/>
              <w:t>​</w:t>
            </w:r>
          </w:p>
        </w:tc>
      </w:tr>
      <w:tr>
        <w:trPr/>
        <w:tc>
          <w:tcPr>
            <w:tcW w:w="340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 of</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pPr>
            <w:r>
              <w:rPr/>
              <w:t>​</w:t>
            </w:r>
          </w:p>
        </w:tc>
        <w:tc>
          <w:tcPr>
            <w:tcW w:w="391" w:type="dxa"/>
            <w:tcBorders/>
            <w:shd w:fill="E5E5E5" w:val="clear"/>
            <w:vAlign w:val="center"/>
          </w:tcPr>
          <w:p>
            <w:pPr>
              <w:pStyle w:val="TableContents"/>
              <w:bidi w:val="0"/>
              <w:spacing w:before="0" w:after="1"/>
              <w:ind w:left="0" w:right="0" w:hanging="0"/>
              <w:jc w:val="left"/>
              <w:rPr/>
            </w:pPr>
            <w:r>
              <w:rPr/>
              <w:t>​</w:t>
            </w:r>
          </w:p>
        </w:tc>
      </w:tr>
      <w:tr>
        <w:trPr/>
        <w:tc>
          <w:tcPr>
            <w:tcW w:w="340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pPr>
            <w:r>
              <w:rPr/>
              <w:t>​</w:t>
            </w:r>
          </w:p>
        </w:tc>
        <w:tc>
          <w:tcPr>
            <w:tcW w:w="391" w:type="dxa"/>
            <w:tcBorders/>
            <w:shd w:fill="E5E5E5" w:val="clear"/>
            <w:vAlign w:val="center"/>
          </w:tcPr>
          <w:p>
            <w:pPr>
              <w:pStyle w:val="TableContents"/>
              <w:bidi w:val="0"/>
              <w:spacing w:before="0" w:after="1"/>
              <w:ind w:left="0" w:right="0" w:hanging="0"/>
              <w:jc w:val="left"/>
              <w:rPr/>
            </w:pPr>
            <w:r>
              <w:rPr/>
              <w:t>​</w:t>
            </w:r>
          </w:p>
        </w:tc>
      </w:tr>
      <w:tr>
        <w:trPr/>
        <w:tc>
          <w:tcPr>
            <w:tcW w:w="340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Percent of</w:t>
            </w:r>
          </w:p>
        </w:tc>
        <w:tc>
          <w:tcPr>
            <w:tcW w:w="391" w:type="dxa"/>
            <w:tcBorders/>
            <w:shd w:fill="E5E5E5" w:val="clear"/>
            <w:vAlign w:val="center"/>
          </w:tcPr>
          <w:p>
            <w:pPr>
              <w:pStyle w:val="TableContents"/>
              <w:bidi w:val="0"/>
              <w:spacing w:before="0" w:after="1"/>
              <w:ind w:left="0" w:right="0" w:hanging="0"/>
              <w:jc w:val="left"/>
              <w:rPr/>
            </w:pPr>
            <w:r>
              <w:rPr/>
              <w:t>​</w:t>
            </w:r>
          </w:p>
        </w:tc>
      </w:tr>
      <w:tr>
        <w:trPr/>
        <w:tc>
          <w:tcPr>
            <w:tcW w:w="3406"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Name and Address of</w:t>
            </w:r>
          </w:p>
        </w:tc>
        <w:tc>
          <w:tcPr>
            <w:tcW w:w="346" w:type="dxa"/>
            <w:tcBorders/>
            <w:shd w:fill="E5E5E5" w:val="clear"/>
            <w:vAlign w:val="center"/>
          </w:tcPr>
          <w:p>
            <w:pPr>
              <w:pStyle w:val="TableContents"/>
              <w:bidi w:val="0"/>
              <w:spacing w:before="0" w:after="1"/>
              <w:ind w:left="0" w:right="0" w:hanging="0"/>
              <w:jc w:val="left"/>
              <w:rPr/>
            </w:pPr>
            <w:r>
              <w:rPr/>
              <w:t>​</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Beneficially</w:t>
            </w:r>
          </w:p>
        </w:tc>
        <w:tc>
          <w:tcPr>
            <w:tcW w:w="346" w:type="dxa"/>
            <w:tcBorders/>
            <w:shd w:fill="E5E5E5" w:val="clear"/>
            <w:vAlign w:val="center"/>
          </w:tcPr>
          <w:p>
            <w:pPr>
              <w:pStyle w:val="TableContents"/>
              <w:bidi w:val="0"/>
              <w:spacing w:before="0" w:after="1"/>
              <w:ind w:left="0" w:right="0" w:hanging="0"/>
              <w:jc w:val="left"/>
              <w:rPr/>
            </w:pPr>
            <w:r>
              <w:rPr/>
              <w:t>​</w:t>
            </w:r>
          </w:p>
        </w:tc>
        <w:tc>
          <w:tcPr>
            <w:tcW w:w="115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91" w:type="dxa"/>
            <w:tcBorders/>
            <w:shd w:fill="E5E5E5" w:val="clear"/>
            <w:vAlign w:val="center"/>
          </w:tcPr>
          <w:p>
            <w:pPr>
              <w:pStyle w:val="TableContents"/>
              <w:bidi w:val="0"/>
              <w:spacing w:before="0" w:after="1"/>
              <w:ind w:left="0" w:right="0" w:hanging="0"/>
              <w:jc w:val="left"/>
              <w:rPr/>
            </w:pPr>
            <w:r>
              <w:rPr/>
              <w:t>​</w:t>
            </w:r>
          </w:p>
        </w:tc>
      </w:tr>
      <w:tr>
        <w:trPr/>
        <w:tc>
          <w:tcPr>
            <w:tcW w:w="3406"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Beneficial Owner</w:t>
            </w:r>
          </w:p>
        </w:tc>
        <w:tc>
          <w:tcPr>
            <w:tcW w:w="346" w:type="dxa"/>
            <w:tcBorders/>
            <w:shd w:fill="E5E5E5" w:val="clear"/>
            <w:vAlign w:val="center"/>
          </w:tcPr>
          <w:p>
            <w:pPr>
              <w:pStyle w:val="TableContents"/>
              <w:bidi w:val="0"/>
              <w:spacing w:before="0" w:after="1"/>
              <w:ind w:left="0" w:right="0" w:hanging="0"/>
              <w:jc w:val="left"/>
              <w:rPr/>
            </w:pPr>
            <w:r>
              <w:rPr/>
              <w:t>  ​ ​ ​</w:t>
            </w:r>
          </w:p>
        </w:tc>
        <w:tc>
          <w:tcPr>
            <w:tcW w:w="106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Owned</w:t>
            </w:r>
          </w:p>
        </w:tc>
        <w:tc>
          <w:tcPr>
            <w:tcW w:w="346" w:type="dxa"/>
            <w:tcBorders/>
            <w:shd w:fill="E5E5E5" w:val="clear"/>
            <w:vAlign w:val="center"/>
          </w:tcPr>
          <w:p>
            <w:pPr>
              <w:pStyle w:val="TableContents"/>
              <w:bidi w:val="0"/>
              <w:spacing w:before="0" w:after="1"/>
              <w:ind w:left="0" w:right="0" w:hanging="0"/>
              <w:jc w:val="left"/>
              <w:rPr/>
            </w:pPr>
            <w:r>
              <w:rPr/>
              <w:t>  ​ ​ ​</w:t>
            </w:r>
          </w:p>
        </w:tc>
        <w:tc>
          <w:tcPr>
            <w:tcW w:w="1156" w:type="dxa"/>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 Stock</w:t>
            </w:r>
          </w:p>
        </w:tc>
        <w:tc>
          <w:tcPr>
            <w:tcW w:w="391" w:type="dxa"/>
            <w:tcBorders/>
            <w:shd w:fill="E5E5E5" w:val="clear"/>
            <w:vAlign w:val="center"/>
          </w:tcPr>
          <w:p>
            <w:pPr>
              <w:pStyle w:val="TableContents"/>
              <w:bidi w:val="0"/>
              <w:spacing w:before="0" w:after="1"/>
              <w:ind w:left="0" w:right="0" w:hanging="0"/>
              <w:jc w:val="left"/>
              <w:rPr/>
            </w:pPr>
            <w:r>
              <w:rPr/>
              <w:t>  ​</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BlackRock, Inc. (1) </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50 Hudson Yards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New York, NY 10001</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11,586,656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Vanguard Portfolio Management (2) </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Vanguard Blvd.</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Malvern, PA 19355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5,585,767</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7.33</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Dimensional Fund Advisors LP (3) </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6300 Bee Cave Road, Building One</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Austin, TX 78746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5,134,051</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Vanguard Capital Management (4)</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Vanguard Blvd.</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Malvern, PA 19355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3,995,672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Ariel Investments, LLC (5)</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200 East Randolph Street, Suite 2900</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40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Chicago, IL 60601</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3,777,813</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5.00</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on information included in Form 13G/A filed with the SEC on April 30, 2025 by BlackRock, Inc., BlackRock, Inc. had sole voting power with respect to 11,435,621 shares and sole dispositive power with respect to 11,586,656 shares, reported as 15.0% of the outstanding capital stock, as of March 31, 2025.</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on information included in Form 13G filed with the SEC on April 29, 2026 by Vanguard Portfolio Management,  Vanguard Portfolio Management had sole voting power with respect to 31,358 shares, shared voting power with respect to 0 shares, sole dispositive power with respect to 5,585,767 shares, and shared dispositive power with respect to 0 shares, reported as 7.33% of the outstanding capital stock, as of January 31, 2026.</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on information included in Form 13G/A filed with the SEC on January 23, 2025 by Dimensional Fund Advisors LP, a registered investment advisor, Dimensional Fund Advisors LP had sole voting power with respect to 5,012,799 shares and sole dispositive power with respect to 5,134,051 shares, reported as 6.60% of the outstanding capital stock , as of December 31, 2024. Dimensional Fund Advisors LP disclaims beneficial ownership of these securities.</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0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Based solely on information included in Form 13G filed with the SEC on April 30, 2026 by Vanguard Capital Management, Vanguard Capital Management had sole voting power with respect to 569,232 shares, shared voting power with respect to 0 shares, sole dispositive power with respect to 3,995,672 shares, and shared dispositive power with respect to 0 shares, reported as 5.24% of the outstanding capital stock, as of January 31, 2026</w:t>
            </w:r>
            <w:r>
              <w:rPr>
                <w:rFonts w:ascii="Arial;Helvetica;sans-serif" w:hAnsi="Arial;Helvetica;sans-serif"/>
                <w:b w:val="false"/>
                <w:i w:val="false"/>
                <w:caps w:val="false"/>
                <w:smallCaps w:val="false"/>
                <w:sz w:val="24"/>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89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8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46" descr=""/>
                    <pic:cNvPicPr>
                      <a:picLocks noChangeAspect="1" noChangeArrowheads="1"/>
                    </pic:cNvPicPr>
                  </pic:nvPicPr>
                  <pic:blipFill>
                    <a:blip r:embed="rId147"/>
                    <a:stretch>
                      <a:fillRect/>
                    </a:stretch>
                  </pic:blipFill>
                  <pic:spPr bwMode="auto">
                    <a:xfrm>
                      <a:off x="0" y="0"/>
                      <a:ext cx="6858000" cy="480695"/>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537" w:name="Form10KAnnualReport_41642"/>
      <w:bookmarkStart w:id="538" w:name="_5694a2fb_c0f7_44a9_ad91_dccd4049d1ab"/>
      <w:bookmarkEnd w:id="537"/>
      <w:bookmarkEnd w:id="538"/>
      <w:r>
        <w:rPr>
          <w:rFonts w:ascii="Arial;Helvetica;sans-serif" w:hAnsi="Arial;Helvetica;sans-serif"/>
          <w:b/>
          <w:sz w:val="32"/>
        </w:rPr>
        <w:t>Form 10-K Annual Report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Copies of our Annual Report on Form 10-K for the fiscal year ending June 30, 2026 as filed with the SEC are available for viewing at </w:t>
      </w:r>
      <w:r>
        <w:rPr>
          <w:rFonts w:ascii="Arial;Helvetica;sans-serif" w:hAnsi="Arial;Helvetica;sans-serif"/>
          <w:b/>
          <w:sz w:val="20"/>
        </w:rPr>
        <w:t>www.proxyvote.com</w:t>
      </w:r>
      <w:r>
        <w:rPr>
          <w:rFonts w:ascii="Arial;Helvetica;sans-serif" w:hAnsi="Arial;Helvetica;sans-serif"/>
          <w:sz w:val="20"/>
        </w:rPr>
        <w:t>. You may also request paper copies of the 2026 Annual Report by following the directions included in the Notice. The copies of our 2026 Annual Report do not contain copies of exhibits to that Annual Report.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Copies of all Company filings with the SEC (including the 2026 Annual Report and all exhibits to that report) are available on our website at </w:t>
      </w:r>
      <w:r>
        <w:rPr>
          <w:rFonts w:ascii="Arial;Helvetica;sans-serif" w:hAnsi="Arial;Helvetica;sans-serif"/>
          <w:b/>
          <w:sz w:val="20"/>
        </w:rPr>
        <w:t>www.kennametal.com</w:t>
      </w:r>
      <w:r>
        <w:rPr>
          <w:rFonts w:ascii="Arial;Helvetica;sans-serif" w:hAnsi="Arial;Helvetica;sans-serif"/>
          <w:sz w:val="20"/>
        </w:rPr>
        <w:t xml:space="preserve"> under “Investor Relations”, “Financials”. A shareowner may obtain a paper copy of this Proxy Statement, the 2026 Annual Report, any exhibits to the 2026 Annual Report or any other filing with the SEC without charge by submitting a “Printed Material Request,” which can be found on our website at </w:t>
      </w:r>
      <w:r>
        <w:rPr>
          <w:rFonts w:ascii="Arial;Helvetica;sans-serif" w:hAnsi="Arial;Helvetica;sans-serif"/>
          <w:b/>
          <w:sz w:val="20"/>
        </w:rPr>
        <w:t>www.kennametal.com</w:t>
      </w:r>
      <w:r>
        <w:rPr>
          <w:rFonts w:ascii="Arial;Helvetica;sans-serif" w:hAnsi="Arial;Helvetica;sans-serif"/>
          <w:sz w:val="20"/>
        </w:rPr>
        <w:t xml:space="preserve"> under “Investor Relations”. Alternatively, shareowners may write to: Vice President, Investor Relations, Kennametal Inc., 525 William Penn Place, Suite 3300, Pittsburgh, Pennsylvania 15219.</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4514" w:type="dxa"/>
        <w:jc w:val="left"/>
        <w:tblInd w:w="0" w:type="dxa"/>
        <w:tblLayout w:type="fixed"/>
        <w:tblCellMar>
          <w:top w:w="0" w:type="dxa"/>
          <w:left w:w="0" w:type="dxa"/>
          <w:bottom w:w="0" w:type="dxa"/>
          <w:right w:w="0" w:type="dxa"/>
        </w:tblCellMar>
      </w:tblPr>
      <w:tblGrid>
        <w:gridCol w:w="4291"/>
        <w:gridCol w:w="223"/>
      </w:tblGrid>
      <w:tr>
        <w:trPr/>
        <w:tc>
          <w:tcPr>
            <w:tcW w:w="429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90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8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47" descr=""/>
                    <pic:cNvPicPr>
                      <a:picLocks noChangeAspect="1" noChangeArrowheads="1"/>
                    </pic:cNvPicPr>
                  </pic:nvPicPr>
                  <pic:blipFill>
                    <a:blip r:embed="rId148"/>
                    <a:stretch>
                      <a:fillRect/>
                    </a:stretch>
                  </pic:blipFill>
                  <pic:spPr bwMode="auto">
                    <a:xfrm>
                      <a:off x="0" y="0"/>
                      <a:ext cx="6876415" cy="474980"/>
                    </a:xfrm>
                    <a:prstGeom prst="rect">
                      <a:avLst/>
                    </a:prstGeom>
                  </pic:spPr>
                </pic:pic>
              </a:graphicData>
            </a:graphic>
          </wp:inline>
        </w:drawing>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32"/>
        </w:rPr>
      </w:pPr>
      <w:bookmarkStart w:id="539" w:name="OtherMatters_310523"/>
      <w:bookmarkStart w:id="540" w:name="_32906634_367d_410f_948a_4a084f5a4ae7"/>
      <w:bookmarkEnd w:id="539"/>
      <w:bookmarkEnd w:id="540"/>
      <w:r>
        <w:rPr>
          <w:rFonts w:ascii="Arial;Helvetica;sans-serif" w:hAnsi="Arial;Helvetica;sans-serif"/>
          <w:b/>
          <w:sz w:val="32"/>
        </w:rPr>
        <w:t>Other Matters</w:t>
      </w:r>
    </w:p>
    <w:p>
      <w:pPr>
        <w:pStyle w:val="TextBody"/>
        <w:bidi w:val="0"/>
        <w:spacing w:before="240" w:after="120"/>
        <w:ind w:left="0" w:right="0" w:hanging="0"/>
        <w:jc w:val="left"/>
        <w:rPr>
          <w:rFonts w:ascii="Arial;Helvetica;sans-serif" w:hAnsi="Arial;Helvetica;sans-serif"/>
          <w:b/>
          <w:sz w:val="24"/>
        </w:rPr>
      </w:pPr>
      <w:bookmarkStart w:id="541" w:name="DelinquentSection16aReports_558537"/>
      <w:bookmarkEnd w:id="541"/>
      <w:r>
        <w:rPr>
          <w:rFonts w:ascii="Arial;Helvetica;sans-serif" w:hAnsi="Arial;Helvetica;sans-serif"/>
          <w:b/>
          <w:sz w:val="24"/>
        </w:rPr>
        <w:t>Delinquent Section 16(a) Reports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Under Securities and Exchange Commission rules, our directors, executive officers and owners of more than 10% of our stock are required to file with the SEC reports of holdings and changes in beneficial ownership of Kennametal stock on Forms 3, 4 and 5. We routinely provide information and support to our directors and executive officers to assist with the preparation of Forms 4. We have reviewed copies of reports, as well as other records and information. Based on that review, we concluded that all reports were timely filed for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45" w:type="dxa"/>
        <w:jc w:val="left"/>
        <w:tblInd w:w="0" w:type="dxa"/>
        <w:tblLayout w:type="fixed"/>
        <w:tblCellMar>
          <w:top w:w="0" w:type="dxa"/>
          <w:left w:w="0" w:type="dxa"/>
          <w:bottom w:w="0" w:type="dxa"/>
          <w:right w:w="0" w:type="dxa"/>
        </w:tblCellMar>
      </w:tblPr>
      <w:tblGrid>
        <w:gridCol w:w="124"/>
        <w:gridCol w:w="4321"/>
      </w:tblGrid>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91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8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48" descr=""/>
                    <pic:cNvPicPr>
                      <a:picLocks noChangeAspect="1" noChangeArrowheads="1"/>
                    </pic:cNvPicPr>
                  </pic:nvPicPr>
                  <pic:blipFill>
                    <a:blip r:embed="rId149"/>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Appendix A</w:t>
      </w:r>
    </w:p>
    <w:p>
      <w:pPr>
        <w:pStyle w:val="TextBody"/>
        <w:bidi w:val="0"/>
        <w:spacing w:before="0" w:after="240"/>
        <w:ind w:left="0" w:right="0" w:hanging="0"/>
        <w:jc w:val="both"/>
        <w:rPr>
          <w:rFonts w:ascii="Arial;Helvetica;sans-serif" w:hAnsi="Arial;Helvetica;sans-serif"/>
          <w:b/>
          <w:sz w:val="32"/>
        </w:rPr>
      </w:pPr>
      <w:bookmarkStart w:id="542" w:name="AppendixAEBITDAEBITDAMarginAdjustedEBITD"/>
      <w:bookmarkStart w:id="543" w:name="_6611e421_8d62_4c22_b08c_45b20b3bb025"/>
      <w:bookmarkEnd w:id="542"/>
      <w:bookmarkEnd w:id="543"/>
      <w:r>
        <w:rPr>
          <w:rFonts w:ascii="Arial;Helvetica;sans-serif" w:hAnsi="Arial;Helvetica;sans-serif"/>
          <w:b/>
          <w:sz w:val="32"/>
        </w:rPr>
        <w:t>Appendix A — EBITDA, EBITDA Margin, Adjusted EBITDA, Adjusted EBITDA Margin, PWC, PWCPS, ROIC, Adjusted ROIC Reconciliations, and Average Adjusted EBITDA Margin</w:t>
      </w:r>
    </w:p>
    <w:p>
      <w:pPr>
        <w:pStyle w:val="TextBody"/>
        <w:bidi w:val="0"/>
        <w:spacing w:before="240" w:after="120"/>
        <w:ind w:left="0" w:right="0" w:hanging="0"/>
        <w:jc w:val="both"/>
        <w:rPr>
          <w:rFonts w:ascii="Arial;Helvetica;sans-serif" w:hAnsi="Arial;Helvetica;sans-serif"/>
          <w:b/>
          <w:sz w:val="24"/>
        </w:rPr>
      </w:pPr>
      <w:r>
        <w:rPr>
          <w:rFonts w:ascii="Arial;Helvetica;sans-serif" w:hAnsi="Arial;Helvetica;sans-serif"/>
          <w:b/>
          <w:sz w:val="24"/>
        </w:rPr>
        <w:t>EBITDA, EBITDA Margin, Adjusted EBITDA, Adjusted EBITDA Margin, and Average Adjusted EBITDA</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Earnings Before Interest, Taxes, Depreciation and Amortization (EBITDA) is a non-GAAP financial measure and is defined by the Company as net income attributable to Kennametal, with interest expense, interest income, provision for income taxes, depreciation and amortization added back. Kennametal will present EBITDA on an adjusted basis. Adjusted EBITDA excludes restructuring and related charges, goodwill and other intangible asset impairment charges, gains or losses on divestiture, or other special charges. Management considers Adjusted EBITDA to be an important indicator of Kennametal’s operating performance and profitability.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EBITDA Margin and Adjusted EBITDA Margin are calculated by dividing EBITDA and Adjusted EBITDA, respectively, by sales.</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Primary Working Capital and Primary Working Capital as a Percentage of Sales Revenues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Primary Working Capital (PWC) is a non-GAAP financial measure and is defined by the Company as accounts receivable, net plus inventories, net minus accounts payable. The most directly comparable GAAP measure is working capital, which is defined as current assets less current liabilities. Primary Working Capital as a Percent of Sales (PWCPS) is defined by the Company as the average of the previous five quarters’ PWC divided by the previous twelve months’ sales. We believe PWC and PWCPS better represent Kennametal’s performance in managing certain assets and liabilities controllable at the segment level and such measures are used as such for internal performance measurement.</w:t>
      </w:r>
    </w:p>
    <w:p>
      <w:pPr>
        <w:pStyle w:val="TextBody"/>
        <w:bidi w:val="0"/>
        <w:spacing w:before="240" w:after="120"/>
        <w:ind w:left="0" w:right="0" w:hanging="0"/>
        <w:jc w:val="left"/>
        <w:rPr>
          <w:rFonts w:ascii="Arial;Helvetica;sans-serif" w:hAnsi="Arial;Helvetica;sans-serif"/>
          <w:b/>
          <w:sz w:val="24"/>
        </w:rPr>
      </w:pPr>
      <w:r>
        <w:rPr>
          <w:rFonts w:ascii="Arial;Helvetica;sans-serif" w:hAnsi="Arial;Helvetica;sans-serif"/>
          <w:b/>
          <w:sz w:val="24"/>
        </w:rPr>
        <w:t>Return on Invested Capital and Adjusted Return on Invested Capital</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Adjusted Return on Invested Capital (Adjusted ROIC) is a non-GAAP financial measure and is defined by the Company as the previous twelve months’ net income, adjusted for interest expense, non-controlling interest and special items, divided by the sum of the previous five quarters’ average balances of debt and total equity. The most directly comparable GAAP measure is return on invested capital calculated utilizing GAAP net income. Management believes that adjusted ROIC provides additional insight into the underlying capital structure and performance of the Company.</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Management utilizes these non-GAAP measures in determining compensation and assessing the operations of the Company.</w:t>
      </w:r>
    </w:p>
    <w:p>
      <w:pPr>
        <w:pStyle w:val="Normal"/>
        <w:bidi w:val="0"/>
        <w:spacing w:before="0" w:after="0"/>
        <w:ind w:left="0" w:right="0" w:hanging="0"/>
        <w:jc w:val="left"/>
        <w:rPr>
          <w:sz w:val="4"/>
          <w:szCs w:val="4"/>
        </w:rPr>
      </w:pPr>
      <w:r>
        <w:rPr>
          <w:sz w:val="4"/>
          <w:szCs w:val="4"/>
        </w:rPr>
      </w:r>
      <w:bookmarkStart w:id="544" w:name="_c65e889d_598d_4e4c_893d_8551b314a742"/>
      <w:bookmarkStart w:id="545" w:name="_c65e889d_598d_4e4c_893d_8551b314a742"/>
      <w:bookmarkEnd w:id="545"/>
    </w:p>
    <w:tbl>
      <w:tblPr>
        <w:tblW w:w="4604" w:type="dxa"/>
        <w:jc w:val="left"/>
        <w:tblInd w:w="0" w:type="dxa"/>
        <w:tblLayout w:type="fixed"/>
        <w:tblCellMar>
          <w:top w:w="0" w:type="dxa"/>
          <w:left w:w="0" w:type="dxa"/>
          <w:bottom w:w="0" w:type="dxa"/>
          <w:right w:w="0" w:type="dxa"/>
        </w:tblCellMar>
      </w:tblPr>
      <w:tblGrid>
        <w:gridCol w:w="4381"/>
        <w:gridCol w:w="223"/>
      </w:tblGrid>
      <w:tr>
        <w:trPr/>
        <w:tc>
          <w:tcPr>
            <w:tcW w:w="438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A-1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8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49" descr=""/>
                    <pic:cNvPicPr>
                      <a:picLocks noChangeAspect="1" noChangeArrowheads="1"/>
                    </pic:cNvPicPr>
                  </pic:nvPicPr>
                  <pic:blipFill>
                    <a:blip r:embed="rId150"/>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right"/>
        <w:rPr>
          <w:rFonts w:ascii="Arial;Helvetica;sans-serif" w:hAnsi="Arial;Helvetica;sans-serif"/>
          <w:b/>
          <w:sz w:val="20"/>
        </w:rPr>
      </w:pPr>
      <w:r>
        <w:rPr>
          <w:rFonts w:ascii="Arial;Helvetica;sans-serif" w:hAnsi="Arial;Helvetica;sans-serif"/>
          <w:b/>
          <w:sz w:val="20"/>
        </w:rPr>
        <w:t>Appendix A</w:t>
      </w:r>
    </w:p>
    <w:p>
      <w:pPr>
        <w:pStyle w:val="TextBody"/>
        <w:bidi w:val="0"/>
        <w:spacing w:before="0" w:after="120"/>
        <w:ind w:left="0" w:right="0" w:hanging="0"/>
        <w:jc w:val="both"/>
        <w:rPr>
          <w:rFonts w:ascii="Arial;Helvetica;sans-serif" w:hAnsi="Arial;Helvetica;sans-serif"/>
          <w:b/>
          <w:sz w:val="24"/>
        </w:rPr>
      </w:pPr>
      <w:r>
        <w:rPr>
          <w:rFonts w:ascii="Arial;Helvetica;sans-serif" w:hAnsi="Arial;Helvetica;sans-serif"/>
          <w:b/>
          <w:sz w:val="24"/>
        </w:rPr>
        <w:t>EARNINGS BEFORE INTEREST, TAXES, DEPRECIATION AND AMORTIZATION (UNAUDITED)</w:t>
        <w:br/>
        <w:t>(in thousands, except percents)</w:t>
      </w:r>
    </w:p>
    <w:tbl>
      <w:tblPr>
        <w:tblW w:w="7433" w:type="dxa"/>
        <w:jc w:val="left"/>
        <w:tblInd w:w="0" w:type="dxa"/>
        <w:tblLayout w:type="fixed"/>
        <w:tblCellMar>
          <w:top w:w="0" w:type="dxa"/>
          <w:left w:w="0" w:type="dxa"/>
          <w:bottom w:w="0" w:type="dxa"/>
          <w:right w:w="0" w:type="dxa"/>
        </w:tblCellMar>
      </w:tblPr>
      <w:tblGrid>
        <w:gridCol w:w="4276"/>
        <w:gridCol w:w="346"/>
        <w:gridCol w:w="211"/>
        <w:gridCol w:w="796"/>
        <w:gridCol w:w="406"/>
        <w:gridCol w:w="211"/>
        <w:gridCol w:w="796"/>
        <w:gridCol w:w="391"/>
      </w:tblGrid>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Year ended June 30</w:t>
            </w:r>
          </w:p>
        </w:tc>
        <w:tc>
          <w:tcPr>
            <w:tcW w:w="346" w:type="dxa"/>
            <w:tcBorders/>
            <w:shd w:fill="E5E5E5" w:val="clear"/>
            <w:vAlign w:val="center"/>
          </w:tcPr>
          <w:p>
            <w:pPr>
              <w:pStyle w:val="TableContents"/>
              <w:bidi w:val="0"/>
              <w:spacing w:before="0" w:after="0"/>
              <w:ind w:left="0" w:right="0" w:hanging="0"/>
              <w:jc w:val="left"/>
              <w:rPr/>
            </w:pPr>
            <w:r>
              <w:rPr/>
              <w:t>  ​ ​ ​</w:t>
            </w:r>
          </w:p>
        </w:tc>
        <w:tc>
          <w:tcPr>
            <w:tcW w:w="100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06" w:type="dxa"/>
            <w:tcBorders/>
            <w:shd w:fill="E5E5E5" w:val="clear"/>
            <w:vAlign w:val="center"/>
          </w:tcPr>
          <w:p>
            <w:pPr>
              <w:pStyle w:val="TableContents"/>
              <w:bidi w:val="0"/>
              <w:spacing w:before="0" w:after="0"/>
              <w:ind w:left="0" w:right="0" w:hanging="0"/>
              <w:jc w:val="left"/>
              <w:rPr/>
            </w:pPr>
            <w:r>
              <w:rPr/>
              <w:t>  ​ ​ ​</w:t>
            </w:r>
          </w:p>
        </w:tc>
        <w:tc>
          <w:tcPr>
            <w:tcW w:w="100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attributable to Kennametal, reported</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342,389</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93,125</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 back:</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28,561</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24,930</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(2,340)</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(3,123)</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 reported</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110,915</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33,296</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133,633</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125,709</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9,522</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10,787</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EBITDA</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622,680</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284,724</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EBITDA Margin</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Restructuring and related charges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11,413</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13,252</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divestiture</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1,512</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634,093</w:t>
            </w:r>
          </w:p>
        </w:tc>
        <w:tc>
          <w:tcPr>
            <w:tcW w:w="40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299,488</w:t>
            </w:r>
          </w:p>
        </w:tc>
        <w:tc>
          <w:tcPr>
            <w:tcW w:w="39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 Margin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w:t>
            </w:r>
          </w:p>
        </w:tc>
        <w:tc>
          <w:tcPr>
            <w:tcW w:w="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PRIMARY WORKING CAPITAL (UNAUDITED)</w:t>
        <w:br/>
        <w:t>June 30, 2026 (in thousands, except percents)</w:t>
      </w:r>
    </w:p>
    <w:tbl>
      <w:tblPr>
        <w:tblW w:w="10205" w:type="dxa"/>
        <w:jc w:val="left"/>
        <w:tblInd w:w="0" w:type="dxa"/>
        <w:tblLayout w:type="fixed"/>
        <w:tblCellMar>
          <w:top w:w="0" w:type="dxa"/>
          <w:left w:w="0" w:type="dxa"/>
          <w:bottom w:w="0" w:type="dxa"/>
          <w:right w:w="0" w:type="dxa"/>
        </w:tblCellMar>
      </w:tblPr>
      <w:tblGrid>
        <w:gridCol w:w="2747"/>
        <w:gridCol w:w="226"/>
        <w:gridCol w:w="196"/>
        <w:gridCol w:w="826"/>
        <w:gridCol w:w="226"/>
        <w:gridCol w:w="196"/>
        <w:gridCol w:w="826"/>
        <w:gridCol w:w="226"/>
        <w:gridCol w:w="196"/>
        <w:gridCol w:w="826"/>
        <w:gridCol w:w="226"/>
        <w:gridCol w:w="196"/>
        <w:gridCol w:w="826"/>
        <w:gridCol w:w="226"/>
        <w:gridCol w:w="196"/>
        <w:gridCol w:w="826"/>
        <w:gridCol w:w="226"/>
        <w:gridCol w:w="196"/>
        <w:gridCol w:w="796"/>
      </w:tblGrid>
      <w:tr>
        <w:trPr/>
        <w:tc>
          <w:tcPr>
            <w:tcW w:w="274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2747"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6/30/2026</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3/31/2026</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12/31/2025</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9/30/2025</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6/30/2025</w:t>
            </w:r>
          </w:p>
        </w:tc>
        <w:tc>
          <w:tcPr>
            <w:tcW w:w="226" w:type="dxa"/>
            <w:tcBorders/>
            <w:shd w:fill="E5E5E5" w:val="clear"/>
            <w:vAlign w:val="center"/>
          </w:tcPr>
          <w:p>
            <w:pPr>
              <w:pStyle w:val="TableContents"/>
              <w:bidi w:val="0"/>
              <w:spacing w:before="0" w:after="0"/>
              <w:ind w:left="0" w:right="0" w:hanging="0"/>
              <w:jc w:val="left"/>
              <w:rPr/>
            </w:pPr>
            <w:r>
              <w:rPr/>
              <w:t>  ​</w:t>
            </w:r>
          </w:p>
        </w:tc>
        <w:tc>
          <w:tcPr>
            <w:tcW w:w="99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1,771,771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1,278,077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1,121,278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1,032,798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1,039,270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676,708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536,069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439,350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396,978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422,329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Working capital, GAAP</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1,095,063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742,008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681,928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635,820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616,941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Excluding items: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(95,791)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(106,850)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(129,318)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(103,497)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(140,540)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(159,092)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(89,452)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(81,835)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(76,093)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(65,092)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excluded 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(254,883)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(196,302)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(211,153)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(179,590)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(205,632)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1,516,888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1,081,775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910,125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853,208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833,638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Revolving and other lines of credit and notes payable</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(32,170)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(1,430)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(274,697)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(256,251)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(217,510)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(202,130)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(225,423)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excluded 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(306,867)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(273,001)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(218,940)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(203,535)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(226,400)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369,841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263,068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220,410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193,443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195,929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4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Primary working capital</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1,147,047</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818,707</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689,715</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659,765</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637,709</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6" w:type="dxa"/>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790,589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84"/>
        <w:gridCol w:w="346"/>
        <w:gridCol w:w="211"/>
        <w:gridCol w:w="796"/>
        <w:gridCol w:w="346"/>
        <w:gridCol w:w="211"/>
        <w:gridCol w:w="796"/>
        <w:gridCol w:w="346"/>
        <w:gridCol w:w="211"/>
        <w:gridCol w:w="796"/>
        <w:gridCol w:w="346"/>
        <w:gridCol w:w="211"/>
        <w:gridCol w:w="796"/>
        <w:gridCol w:w="346"/>
        <w:gridCol w:w="211"/>
        <w:gridCol w:w="961"/>
        <w:gridCol w:w="391"/>
      </w:tblGrid>
      <w:tr>
        <w:trPr/>
        <w:tc>
          <w:tcPr>
            <w:tcW w:w="28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884"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6975" w:type="dxa"/>
            <w:gridSpan w:val="15"/>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2884"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  ​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6/30/2026</w:t>
            </w:r>
          </w:p>
        </w:tc>
        <w:tc>
          <w:tcPr>
            <w:tcW w:w="346" w:type="dxa"/>
            <w:tcBorders/>
            <w:shd w:fill="E5E5E5" w:val="clear"/>
            <w:vAlign w:val="center"/>
          </w:tcPr>
          <w:p>
            <w:pPr>
              <w:pStyle w:val="TableContents"/>
              <w:bidi w:val="0"/>
              <w:spacing w:before="0" w:after="1"/>
              <w:ind w:left="0" w:right="0" w:hanging="0"/>
              <w:jc w:val="left"/>
              <w:rPr/>
            </w:pPr>
            <w:r>
              <w:rPr/>
              <w:t>  ​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3/31/2026</w:t>
            </w:r>
          </w:p>
        </w:tc>
        <w:tc>
          <w:tcPr>
            <w:tcW w:w="346" w:type="dxa"/>
            <w:tcBorders/>
            <w:shd w:fill="E5E5E5" w:val="clear"/>
            <w:vAlign w:val="center"/>
          </w:tcPr>
          <w:p>
            <w:pPr>
              <w:pStyle w:val="TableContents"/>
              <w:bidi w:val="0"/>
              <w:spacing w:before="0" w:after="1"/>
              <w:ind w:left="0" w:right="0" w:hanging="0"/>
              <w:jc w:val="left"/>
              <w:rPr/>
            </w:pPr>
            <w:r>
              <w:rPr/>
              <w:t>  ​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12/31/2025</w:t>
            </w:r>
          </w:p>
        </w:tc>
        <w:tc>
          <w:tcPr>
            <w:tcW w:w="346" w:type="dxa"/>
            <w:tcBorders/>
            <w:shd w:fill="E5E5E5" w:val="clear"/>
            <w:vAlign w:val="center"/>
          </w:tcPr>
          <w:p>
            <w:pPr>
              <w:pStyle w:val="TableContents"/>
              <w:bidi w:val="0"/>
              <w:spacing w:before="0" w:after="1"/>
              <w:ind w:left="0" w:right="0" w:hanging="0"/>
              <w:jc w:val="left"/>
              <w:rPr/>
            </w:pPr>
            <w:r>
              <w:rPr/>
              <w:t>  ​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9/30/2025</w:t>
            </w:r>
          </w:p>
        </w:tc>
        <w:tc>
          <w:tcPr>
            <w:tcW w:w="346" w:type="dxa"/>
            <w:tcBorders/>
            <w:shd w:fill="E5E5E5" w:val="clear"/>
            <w:vAlign w:val="center"/>
          </w:tcPr>
          <w:p>
            <w:pPr>
              <w:pStyle w:val="TableContents"/>
              <w:bidi w:val="0"/>
              <w:spacing w:before="0" w:after="1"/>
              <w:ind w:left="0" w:right="0" w:hanging="0"/>
              <w:jc w:val="left"/>
              <w:rPr/>
            </w:pPr>
            <w:r>
              <w:rPr/>
              <w:t>  ​ ​ ​</w:t>
            </w:r>
          </w:p>
        </w:tc>
        <w:tc>
          <w:tcPr>
            <w:tcW w:w="1563" w:type="dxa"/>
            <w:gridSpan w:val="3"/>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884"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736,614</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592,585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529,525</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497,974</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2,356,698</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2884"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Primary working capital as a percentage of sales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bl>
    <w:p>
      <w:pPr>
        <w:pStyle w:val="TextBody"/>
        <w:bidi w:val="0"/>
        <w:spacing w:before="0" w:after="240"/>
        <w:ind w:left="0" w:right="0" w:hanging="0"/>
        <w:jc w:val="both"/>
        <w:rPr/>
      </w:pPr>
      <w:r>
        <w:rPr/>
        <w:t>​</w:t>
      </w:r>
    </w:p>
    <w:p>
      <w:pPr>
        <w:pStyle w:val="Normal"/>
        <w:bidi w:val="0"/>
        <w:spacing w:before="0" w:after="0"/>
        <w:ind w:left="0" w:right="0" w:hanging="0"/>
        <w:jc w:val="left"/>
        <w:rPr>
          <w:sz w:val="4"/>
          <w:szCs w:val="4"/>
        </w:rPr>
      </w:pPr>
      <w:r>
        <w:rPr>
          <w:sz w:val="4"/>
          <w:szCs w:val="4"/>
        </w:rPr>
      </w:r>
      <w:bookmarkStart w:id="546" w:name="_04dc077d_fecf_4777_a2ba_7ddaa70eac3b"/>
      <w:bookmarkStart w:id="547" w:name="_04dc077d_fecf_4777_a2ba_7ddaa70eac3b"/>
      <w:bookmarkEnd w:id="547"/>
    </w:p>
    <w:tbl>
      <w:tblPr>
        <w:tblW w:w="4535" w:type="dxa"/>
        <w:jc w:val="left"/>
        <w:tblInd w:w="0" w:type="dxa"/>
        <w:tblLayout w:type="fixed"/>
        <w:tblCellMar>
          <w:top w:w="0" w:type="dxa"/>
          <w:left w:w="0" w:type="dxa"/>
          <w:bottom w:w="0" w:type="dxa"/>
          <w:right w:w="0" w:type="dxa"/>
        </w:tblCellMar>
      </w:tblPr>
      <w:tblGrid>
        <w:gridCol w:w="124"/>
        <w:gridCol w:w="4411"/>
      </w:tblGrid>
      <w:tr>
        <w:trPr/>
        <w:tc>
          <w:tcPr>
            <w:tcW w:w="124"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A-2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8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50" descr=""/>
                    <pic:cNvPicPr>
                      <a:picLocks noChangeAspect="1" noChangeArrowheads="1"/>
                    </pic:cNvPicPr>
                  </pic:nvPicPr>
                  <pic:blipFill>
                    <a:blip r:embed="rId151"/>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Appendix A</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PRIMARY WORKING CAPITAL (UNAUDITED)</w:t>
        <w:br/>
        <w:t>June 30, 2025 (in thousands, except percents)</w:t>
      </w:r>
    </w:p>
    <w:tbl>
      <w:tblPr>
        <w:tblW w:w="10205" w:type="dxa"/>
        <w:jc w:val="left"/>
        <w:tblInd w:w="0" w:type="dxa"/>
        <w:tblLayout w:type="fixed"/>
        <w:tblCellMar>
          <w:top w:w="0" w:type="dxa"/>
          <w:left w:w="0" w:type="dxa"/>
          <w:bottom w:w="0" w:type="dxa"/>
          <w:right w:w="0" w:type="dxa"/>
        </w:tblCellMar>
      </w:tblPr>
      <w:tblGrid>
        <w:gridCol w:w="2785"/>
        <w:gridCol w:w="226"/>
        <w:gridCol w:w="196"/>
        <w:gridCol w:w="826"/>
        <w:gridCol w:w="226"/>
        <w:gridCol w:w="196"/>
        <w:gridCol w:w="826"/>
        <w:gridCol w:w="226"/>
        <w:gridCol w:w="196"/>
        <w:gridCol w:w="787"/>
        <w:gridCol w:w="226"/>
        <w:gridCol w:w="196"/>
        <w:gridCol w:w="826"/>
        <w:gridCol w:w="226"/>
        <w:gridCol w:w="196"/>
        <w:gridCol w:w="826"/>
        <w:gridCol w:w="226"/>
        <w:gridCol w:w="196"/>
        <w:gridCol w:w="797"/>
      </w:tblGrid>
      <w:tr>
        <w:trPr/>
        <w:tc>
          <w:tcPr>
            <w:tcW w:w="278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2785" w:type="dxa"/>
            <w:tcBorders/>
            <w:shd w:fill="E5E5E5" w:val="clear"/>
            <w:vAlign w:val="center"/>
          </w:tcPr>
          <w:p>
            <w:pPr>
              <w:pStyle w:val="TableContents"/>
              <w:bidi w:val="0"/>
              <w:spacing w:before="0" w:after="0"/>
              <w:ind w:left="0" w:right="0" w:hanging="0"/>
              <w:jc w:val="left"/>
              <w:rPr/>
            </w:pPr>
            <w:r>
              <w:rPr/>
              <w:t>​</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6/30/2025</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3/31/2025</w:t>
            </w:r>
          </w:p>
        </w:tc>
        <w:tc>
          <w:tcPr>
            <w:tcW w:w="226" w:type="dxa"/>
            <w:tcBorders/>
            <w:shd w:fill="E5E5E5" w:val="clear"/>
            <w:vAlign w:val="center"/>
          </w:tcPr>
          <w:p>
            <w:pPr>
              <w:pStyle w:val="TableContents"/>
              <w:bidi w:val="0"/>
              <w:spacing w:before="0" w:after="0"/>
              <w:ind w:left="0" w:right="0" w:hanging="0"/>
              <w:jc w:val="left"/>
              <w:rPr/>
            </w:pPr>
            <w:r>
              <w:rPr/>
              <w:t>  ​</w:t>
            </w:r>
          </w:p>
        </w:tc>
        <w:tc>
          <w:tcPr>
            <w:tcW w:w="983"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12/31/2024</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9/30/2024</w:t>
            </w:r>
          </w:p>
        </w:tc>
        <w:tc>
          <w:tcPr>
            <w:tcW w:w="226" w:type="dxa"/>
            <w:tcBorders/>
            <w:shd w:fill="E5E5E5" w:val="clear"/>
            <w:vAlign w:val="center"/>
          </w:tcPr>
          <w:p>
            <w:pPr>
              <w:pStyle w:val="TableContents"/>
              <w:bidi w:val="0"/>
              <w:spacing w:before="0" w:after="0"/>
              <w:ind w:left="0" w:right="0" w:hanging="0"/>
              <w:jc w:val="left"/>
              <w:rPr/>
            </w:pPr>
            <w:r>
              <w:rPr/>
              <w:t>  ​</w:t>
            </w:r>
          </w:p>
        </w:tc>
        <w:tc>
          <w:tcPr>
            <w:tcW w:w="102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6/30/2024</w:t>
            </w:r>
          </w:p>
        </w:tc>
        <w:tc>
          <w:tcPr>
            <w:tcW w:w="226" w:type="dxa"/>
            <w:tcBorders/>
            <w:shd w:fill="E5E5E5" w:val="clear"/>
            <w:vAlign w:val="center"/>
          </w:tcPr>
          <w:p>
            <w:pPr>
              <w:pStyle w:val="TableContents"/>
              <w:bidi w:val="0"/>
              <w:spacing w:before="0" w:after="0"/>
              <w:ind w:left="0" w:right="0" w:hanging="0"/>
              <w:jc w:val="left"/>
              <w:rPr/>
            </w:pPr>
            <w:r>
              <w:rPr/>
              <w:t>  ​</w:t>
            </w:r>
          </w:p>
        </w:tc>
        <w:tc>
          <w:tcPr>
            <w:tcW w:w="993"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1,039,270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1,013,360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968,774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1,003,869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1,002,592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422,329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415,626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382,228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398,386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415,961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Working capital, GAAP</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616,941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597,734</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586,546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605,483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586,631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Excluding items: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(140,540)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(97,467)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(121,151)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(119,588)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(127,971)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(65,092)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(68,960)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(56,848)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(58,390)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(57,179)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excluded 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(205,632)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(166,427)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(177,999)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(177,978)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(185,150)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current assets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833,638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846,933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790,775</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825,891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817,442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Revolving and other lines of credit and notes payable</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(12,561)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(1,377)</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(225,423)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(210,142)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(182,346)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(195,052)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(223,043)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excluded 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(226,400)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(222,703)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(183,716)</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(196,478)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(224,420)</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Adjusted current liabilities</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195,929</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192,923</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198,512</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201,908</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191,541</w:t>
            </w:r>
          </w:p>
        </w:tc>
        <w:tc>
          <w:tcPr>
            <w:tcW w:w="226"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r>
      <w:tr>
        <w:trPr/>
        <w:tc>
          <w:tcPr>
            <w:tcW w:w="278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Primary working capital</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637,709</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654,010</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592,263</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623,983</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625,901</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626,773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84"/>
        <w:gridCol w:w="286"/>
        <w:gridCol w:w="211"/>
        <w:gridCol w:w="796"/>
        <w:gridCol w:w="286"/>
        <w:gridCol w:w="211"/>
        <w:gridCol w:w="796"/>
        <w:gridCol w:w="286"/>
        <w:gridCol w:w="211"/>
        <w:gridCol w:w="796"/>
        <w:gridCol w:w="286"/>
        <w:gridCol w:w="211"/>
        <w:gridCol w:w="796"/>
        <w:gridCol w:w="286"/>
        <w:gridCol w:w="211"/>
        <w:gridCol w:w="961"/>
        <w:gridCol w:w="391"/>
      </w:tblGrid>
      <w:tr>
        <w:trPr/>
        <w:tc>
          <w:tcPr>
            <w:tcW w:w="3184"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184" w:type="dxa"/>
            <w:tcBorders/>
            <w:shd w:fill="E5E5E5" w:val="clear"/>
            <w:vAlign w:val="center"/>
          </w:tcPr>
          <w:p>
            <w:pPr>
              <w:pStyle w:val="TableContents"/>
              <w:bidi w:val="0"/>
              <w:spacing w:before="0" w:after="1"/>
              <w:ind w:left="0" w:right="0" w:hanging="0"/>
              <w:jc w:val="left"/>
              <w:rPr/>
            </w:pPr>
            <w:r>
              <w:rPr/>
              <w:t>​</w:t>
            </w:r>
          </w:p>
        </w:tc>
        <w:tc>
          <w:tcPr>
            <w:tcW w:w="286" w:type="dxa"/>
            <w:tcBorders/>
            <w:shd w:fill="E5E5E5" w:val="clear"/>
            <w:vAlign w:val="center"/>
          </w:tcPr>
          <w:p>
            <w:pPr>
              <w:pStyle w:val="TableContents"/>
              <w:bidi w:val="0"/>
              <w:spacing w:before="0" w:after="1"/>
              <w:ind w:left="0" w:right="0" w:hanging="0"/>
              <w:jc w:val="left"/>
              <w:rPr/>
            </w:pPr>
            <w:r>
              <w:rPr/>
              <w:t>​</w:t>
            </w:r>
          </w:p>
        </w:tc>
        <w:tc>
          <w:tcPr>
            <w:tcW w:w="6735" w:type="dxa"/>
            <w:gridSpan w:val="15"/>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184" w:type="dxa"/>
            <w:tcBorders/>
            <w:shd w:fill="E5E5E5" w:val="clear"/>
            <w:vAlign w:val="center"/>
          </w:tcPr>
          <w:p>
            <w:pPr>
              <w:pStyle w:val="TableContents"/>
              <w:bidi w:val="0"/>
              <w:spacing w:before="0" w:after="1"/>
              <w:ind w:left="0" w:right="0" w:hanging="0"/>
              <w:jc w:val="left"/>
              <w:rPr/>
            </w:pPr>
            <w:r>
              <w:rPr/>
              <w:t>​</w:t>
            </w:r>
          </w:p>
        </w:tc>
        <w:tc>
          <w:tcPr>
            <w:tcW w:w="286" w:type="dxa"/>
            <w:tcBorders/>
            <w:shd w:fill="E5E5E5" w:val="clear"/>
            <w:vAlign w:val="center"/>
          </w:tcPr>
          <w:p>
            <w:pPr>
              <w:pStyle w:val="TableContents"/>
              <w:bidi w:val="0"/>
              <w:spacing w:before="0" w:after="1"/>
              <w:ind w:left="0" w:right="0" w:hanging="0"/>
              <w:jc w:val="left"/>
              <w:rPr/>
            </w:pPr>
            <w:r>
              <w:rPr/>
              <w:t>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6/30/2025</w:t>
            </w:r>
          </w:p>
        </w:tc>
        <w:tc>
          <w:tcPr>
            <w:tcW w:w="286" w:type="dxa"/>
            <w:tcBorders/>
            <w:shd w:fill="E5E5E5" w:val="clear"/>
            <w:vAlign w:val="center"/>
          </w:tcPr>
          <w:p>
            <w:pPr>
              <w:pStyle w:val="TableContents"/>
              <w:bidi w:val="0"/>
              <w:spacing w:before="0" w:after="1"/>
              <w:ind w:left="0" w:right="0" w:hanging="0"/>
              <w:jc w:val="left"/>
              <w:rPr/>
            </w:pPr>
            <w:r>
              <w:rPr/>
              <w:t>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3/31/2025</w:t>
            </w:r>
          </w:p>
        </w:tc>
        <w:tc>
          <w:tcPr>
            <w:tcW w:w="286" w:type="dxa"/>
            <w:tcBorders/>
            <w:shd w:fill="E5E5E5" w:val="clear"/>
            <w:vAlign w:val="center"/>
          </w:tcPr>
          <w:p>
            <w:pPr>
              <w:pStyle w:val="TableContents"/>
              <w:bidi w:val="0"/>
              <w:spacing w:before="0" w:after="1"/>
              <w:ind w:left="0" w:right="0" w:hanging="0"/>
              <w:jc w:val="left"/>
              <w:rPr/>
            </w:pPr>
            <w:r>
              <w:rPr/>
              <w:t>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12/31/2024</w:t>
            </w:r>
          </w:p>
        </w:tc>
        <w:tc>
          <w:tcPr>
            <w:tcW w:w="286" w:type="dxa"/>
            <w:tcBorders/>
            <w:shd w:fill="E5E5E5" w:val="clear"/>
            <w:vAlign w:val="center"/>
          </w:tcPr>
          <w:p>
            <w:pPr>
              <w:pStyle w:val="TableContents"/>
              <w:bidi w:val="0"/>
              <w:spacing w:before="0" w:after="1"/>
              <w:ind w:left="0" w:right="0" w:hanging="0"/>
              <w:jc w:val="left"/>
              <w:rPr/>
            </w:pPr>
            <w:r>
              <w:rPr/>
              <w:t>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9/30/2024</w:t>
            </w:r>
          </w:p>
        </w:tc>
        <w:tc>
          <w:tcPr>
            <w:tcW w:w="286" w:type="dxa"/>
            <w:tcBorders/>
            <w:shd w:fill="E5E5E5" w:val="clear"/>
            <w:vAlign w:val="center"/>
          </w:tcPr>
          <w:p>
            <w:pPr>
              <w:pStyle w:val="TableContents"/>
              <w:bidi w:val="0"/>
              <w:spacing w:before="0" w:after="1"/>
              <w:ind w:left="0" w:right="0" w:hanging="0"/>
              <w:jc w:val="left"/>
              <w:rPr/>
            </w:pPr>
            <w:r>
              <w:rPr/>
              <w:t>  ​ ​</w:t>
            </w:r>
          </w:p>
        </w:tc>
        <w:tc>
          <w:tcPr>
            <w:tcW w:w="1563" w:type="dxa"/>
            <w:gridSpan w:val="3"/>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184"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w:t>
            </w:r>
          </w:p>
        </w:tc>
        <w:tc>
          <w:tcPr>
            <w:tcW w:w="28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516,448</w:t>
            </w:r>
          </w:p>
        </w:tc>
        <w:tc>
          <w:tcPr>
            <w:tcW w:w="28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486,399</w:t>
            </w:r>
          </w:p>
        </w:tc>
        <w:tc>
          <w:tcPr>
            <w:tcW w:w="28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482,051</w:t>
            </w:r>
          </w:p>
        </w:tc>
        <w:tc>
          <w:tcPr>
            <w:tcW w:w="28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481,948</w:t>
            </w:r>
          </w:p>
        </w:tc>
        <w:tc>
          <w:tcPr>
            <w:tcW w:w="28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1,966,846</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3184"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Primary working capital as a percentage of sales</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31.9</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4604" w:type="dxa"/>
        <w:jc w:val="left"/>
        <w:tblInd w:w="0" w:type="dxa"/>
        <w:tblLayout w:type="fixed"/>
        <w:tblCellMar>
          <w:top w:w="0" w:type="dxa"/>
          <w:left w:w="0" w:type="dxa"/>
          <w:bottom w:w="0" w:type="dxa"/>
          <w:right w:w="0" w:type="dxa"/>
        </w:tblCellMar>
      </w:tblPr>
      <w:tblGrid>
        <w:gridCol w:w="4381"/>
        <w:gridCol w:w="223"/>
      </w:tblGrid>
      <w:tr>
        <w:trPr/>
        <w:tc>
          <w:tcPr>
            <w:tcW w:w="438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A-3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8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51" descr=""/>
                    <pic:cNvPicPr>
                      <a:picLocks noChangeAspect="1" noChangeArrowheads="1"/>
                    </pic:cNvPicPr>
                  </pic:nvPicPr>
                  <pic:blipFill>
                    <a:blip r:embed="rId152"/>
                    <a:stretch>
                      <a:fillRect/>
                    </a:stretch>
                  </pic:blipFill>
                  <pic:spPr bwMode="auto">
                    <a:xfrm>
                      <a:off x="0" y="0"/>
                      <a:ext cx="6876415" cy="474980"/>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right"/>
        <w:rPr>
          <w:rFonts w:ascii="Arial;Helvetica;sans-serif" w:hAnsi="Arial;Helvetica;sans-serif"/>
          <w:b/>
          <w:sz w:val="20"/>
        </w:rPr>
      </w:pPr>
      <w:r>
        <w:rPr>
          <w:rFonts w:ascii="Arial;Helvetica;sans-serif" w:hAnsi="Arial;Helvetica;sans-serif"/>
          <w:b/>
          <w:sz w:val="20"/>
        </w:rPr>
        <w:t>Appendix A</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RETURN ON INVESTED CAPITAL (UNAUDITED)</w:t>
        <w:br/>
        <w:t>June 30, 2026 (in thousands, except percents)</w:t>
      </w:r>
    </w:p>
    <w:tbl>
      <w:tblPr>
        <w:tblW w:w="10205" w:type="dxa"/>
        <w:jc w:val="left"/>
        <w:tblInd w:w="0" w:type="dxa"/>
        <w:tblLayout w:type="fixed"/>
        <w:tblCellMar>
          <w:top w:w="0" w:type="dxa"/>
          <w:left w:w="0" w:type="dxa"/>
          <w:bottom w:w="0" w:type="dxa"/>
          <w:right w:w="0" w:type="dxa"/>
        </w:tblCellMar>
      </w:tblPr>
      <w:tblGrid>
        <w:gridCol w:w="992"/>
        <w:gridCol w:w="346"/>
        <w:gridCol w:w="211"/>
        <w:gridCol w:w="961"/>
        <w:gridCol w:w="346"/>
        <w:gridCol w:w="211"/>
        <w:gridCol w:w="961"/>
        <w:gridCol w:w="346"/>
        <w:gridCol w:w="211"/>
        <w:gridCol w:w="961"/>
        <w:gridCol w:w="346"/>
        <w:gridCol w:w="211"/>
        <w:gridCol w:w="961"/>
        <w:gridCol w:w="346"/>
        <w:gridCol w:w="211"/>
        <w:gridCol w:w="961"/>
        <w:gridCol w:w="346"/>
        <w:gridCol w:w="211"/>
        <w:gridCol w:w="1066"/>
      </w:tblGrid>
      <w:tr>
        <w:trPr/>
        <w:tc>
          <w:tcPr>
            <w:tcW w:w="9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r>
      <w:tr>
        <w:trPr/>
        <w:tc>
          <w:tcPr>
            <w:tcW w:w="992"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Invested Capital</w:t>
            </w:r>
          </w:p>
        </w:tc>
        <w:tc>
          <w:tcPr>
            <w:tcW w:w="346" w:type="dxa"/>
            <w:tcBorders/>
            <w:shd w:fill="E5E5E5" w:val="clear"/>
            <w:vAlign w:val="center"/>
          </w:tcPr>
          <w:p>
            <w:pPr>
              <w:pStyle w:val="TableContents"/>
              <w:bidi w:val="0"/>
              <w:spacing w:before="0" w:after="1"/>
              <w:ind w:left="0" w:right="0" w:hanging="0"/>
              <w:jc w:val="left"/>
              <w:rPr/>
            </w:pPr>
            <w:r>
              <w:rPr/>
              <w:t>  ​ ​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6/30/2026</w:t>
            </w:r>
          </w:p>
        </w:tc>
        <w:tc>
          <w:tcPr>
            <w:tcW w:w="346" w:type="dxa"/>
            <w:tcBorders/>
            <w:shd w:fill="E5E5E5" w:val="clear"/>
            <w:vAlign w:val="center"/>
          </w:tcPr>
          <w:p>
            <w:pPr>
              <w:pStyle w:val="TableContents"/>
              <w:bidi w:val="0"/>
              <w:spacing w:before="0" w:after="1"/>
              <w:ind w:left="0" w:right="0" w:hanging="0"/>
              <w:jc w:val="left"/>
              <w:rPr/>
            </w:pPr>
            <w:r>
              <w:rPr/>
              <w:t>  ​ ​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3/31/2026</w:t>
            </w:r>
          </w:p>
        </w:tc>
        <w:tc>
          <w:tcPr>
            <w:tcW w:w="346" w:type="dxa"/>
            <w:tcBorders/>
            <w:shd w:fill="E5E5E5" w:val="clear"/>
            <w:vAlign w:val="center"/>
          </w:tcPr>
          <w:p>
            <w:pPr>
              <w:pStyle w:val="TableContents"/>
              <w:bidi w:val="0"/>
              <w:spacing w:before="0" w:after="1"/>
              <w:ind w:left="0" w:right="0" w:hanging="0"/>
              <w:jc w:val="left"/>
              <w:rPr/>
            </w:pPr>
            <w:r>
              <w:rPr/>
              <w:t>  ​ ​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12/31/2025</w:t>
            </w:r>
          </w:p>
        </w:tc>
        <w:tc>
          <w:tcPr>
            <w:tcW w:w="346" w:type="dxa"/>
            <w:tcBorders/>
            <w:shd w:fill="E5E5E5" w:val="clear"/>
            <w:vAlign w:val="center"/>
          </w:tcPr>
          <w:p>
            <w:pPr>
              <w:pStyle w:val="TableContents"/>
              <w:bidi w:val="0"/>
              <w:spacing w:before="0" w:after="1"/>
              <w:ind w:left="0" w:right="0" w:hanging="0"/>
              <w:jc w:val="left"/>
              <w:rPr/>
            </w:pPr>
            <w:r>
              <w:rPr/>
              <w:t>  ​ ​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9/30/2025</w:t>
            </w:r>
          </w:p>
        </w:tc>
        <w:tc>
          <w:tcPr>
            <w:tcW w:w="346" w:type="dxa"/>
            <w:tcBorders/>
            <w:shd w:fill="E5E5E5" w:val="clear"/>
            <w:vAlign w:val="center"/>
          </w:tcPr>
          <w:p>
            <w:pPr>
              <w:pStyle w:val="TableContents"/>
              <w:bidi w:val="0"/>
              <w:spacing w:before="0" w:after="1"/>
              <w:ind w:left="0" w:right="0" w:hanging="0"/>
              <w:jc w:val="left"/>
              <w:rPr/>
            </w:pPr>
            <w:r>
              <w:rPr/>
              <w:t>  ​ ​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6/30/2025</w:t>
            </w:r>
          </w:p>
        </w:tc>
        <w:tc>
          <w:tcPr>
            <w:tcW w:w="346" w:type="dxa"/>
            <w:tcBorders/>
            <w:shd w:fill="E5E5E5" w:val="clear"/>
            <w:vAlign w:val="center"/>
          </w:tcPr>
          <w:p>
            <w:pPr>
              <w:pStyle w:val="TableContents"/>
              <w:bidi w:val="0"/>
              <w:spacing w:before="0" w:after="1"/>
              <w:ind w:left="0" w:right="0" w:hanging="0"/>
              <w:jc w:val="left"/>
              <w:rPr/>
            </w:pPr>
            <w:r>
              <w:rPr/>
              <w:t>  ​ ​ ​</w:t>
            </w:r>
          </w:p>
        </w:tc>
        <w:tc>
          <w:tcPr>
            <w:tcW w:w="127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99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Debt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717,450</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614,144</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598,622</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598,395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597,765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625,275</w:t>
            </w:r>
          </w:p>
        </w:tc>
      </w:tr>
      <w:tr>
        <w:trPr/>
        <w:tc>
          <w:tcPr>
            <w:tcW w:w="99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equity</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1,613,437</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1,398,372</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1,357,657</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1,325,597</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1,324,648</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1,403,942</w:t>
            </w:r>
          </w:p>
        </w:tc>
      </w:tr>
      <w:tr>
        <w:trPr/>
        <w:tc>
          <w:tcPr>
            <w:tcW w:w="992"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2,330,887</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2,012,516</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1,956,279</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1,923,992</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1,922,413</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2,029,217</w:t>
            </w:r>
          </w:p>
        </w:tc>
      </w:tr>
    </w:tbl>
    <w:p>
      <w:pPr>
        <w:pStyle w:val="TextBody"/>
        <w:bidi w:val="0"/>
        <w:spacing w:before="0" w:after="240"/>
        <w:ind w:left="0" w:right="0" w:hanging="0"/>
        <w:jc w:val="both"/>
        <w:rPr/>
      </w:pPr>
      <w:r>
        <w:rPr/>
        <w:t>​</w:t>
      </w:r>
    </w:p>
    <w:tbl>
      <w:tblPr>
        <w:tblW w:w="10015" w:type="dxa"/>
        <w:jc w:val="left"/>
        <w:tblInd w:w="0" w:type="dxa"/>
        <w:tblLayout w:type="fixed"/>
        <w:tblCellMar>
          <w:top w:w="0" w:type="dxa"/>
          <w:left w:w="0" w:type="dxa"/>
          <w:bottom w:w="0" w:type="dxa"/>
          <w:right w:w="0" w:type="dxa"/>
        </w:tblCellMar>
      </w:tblPr>
      <w:tblGrid>
        <w:gridCol w:w="3811"/>
        <w:gridCol w:w="346"/>
        <w:gridCol w:w="211"/>
        <w:gridCol w:w="691"/>
        <w:gridCol w:w="346"/>
        <w:gridCol w:w="218"/>
        <w:gridCol w:w="607"/>
        <w:gridCol w:w="346"/>
        <w:gridCol w:w="242"/>
        <w:gridCol w:w="673"/>
        <w:gridCol w:w="346"/>
        <w:gridCol w:w="218"/>
        <w:gridCol w:w="607"/>
        <w:gridCol w:w="346"/>
        <w:gridCol w:w="211"/>
        <w:gridCol w:w="796"/>
      </w:tblGrid>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3811"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w:t>
            </w:r>
          </w:p>
        </w:tc>
        <w:tc>
          <w:tcPr>
            <w:tcW w:w="5858" w:type="dxa"/>
            <w:gridSpan w:val="14"/>
            <w:tcBorders>
              <w:bottom w:val="single" w:sz="2" w:space="0" w:color="000000"/>
            </w:tcBorders>
            <w:shd w:fill="E5E5E5" w:val="clear"/>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811"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Interest Expense</w:t>
            </w:r>
          </w:p>
        </w:tc>
        <w:tc>
          <w:tcPr>
            <w:tcW w:w="346" w:type="dxa"/>
            <w:tcBorders/>
            <w:shd w:fill="E5E5E5" w:val="clear"/>
            <w:vAlign w:val="center"/>
          </w:tcPr>
          <w:p>
            <w:pPr>
              <w:pStyle w:val="TableContents"/>
              <w:bidi w:val="0"/>
              <w:spacing w:before="0" w:after="1"/>
              <w:ind w:left="0" w:right="0" w:hanging="0"/>
              <w:jc w:val="left"/>
              <w:rPr/>
            </w:pPr>
            <w:r>
              <w:rPr/>
              <w:t>  ​ ​ ​</w:t>
            </w:r>
          </w:p>
        </w:tc>
        <w:tc>
          <w:tcPr>
            <w:tcW w:w="90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6/30/2026</w:t>
            </w:r>
          </w:p>
        </w:tc>
        <w:tc>
          <w:tcPr>
            <w:tcW w:w="346" w:type="dxa"/>
            <w:tcBorders/>
            <w:shd w:fill="E5E5E5" w:val="clear"/>
            <w:vAlign w:val="center"/>
          </w:tcPr>
          <w:p>
            <w:pPr>
              <w:pStyle w:val="TableContents"/>
              <w:bidi w:val="0"/>
              <w:spacing w:before="0" w:after="1"/>
              <w:ind w:left="0" w:right="0" w:hanging="0"/>
              <w:jc w:val="left"/>
              <w:rPr/>
            </w:pPr>
            <w:r>
              <w:rPr/>
              <w:t>  ​ ​ ​</w:t>
            </w:r>
          </w:p>
        </w:tc>
        <w:tc>
          <w:tcPr>
            <w:tcW w:w="825"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3/31/2026</w:t>
            </w:r>
          </w:p>
        </w:tc>
        <w:tc>
          <w:tcPr>
            <w:tcW w:w="346" w:type="dxa"/>
            <w:tcBorders/>
            <w:shd w:fill="E5E5E5" w:val="clear"/>
            <w:vAlign w:val="center"/>
          </w:tcPr>
          <w:p>
            <w:pPr>
              <w:pStyle w:val="TableContents"/>
              <w:bidi w:val="0"/>
              <w:spacing w:before="0" w:after="1"/>
              <w:ind w:left="0" w:right="0" w:hanging="0"/>
              <w:jc w:val="left"/>
              <w:rPr/>
            </w:pPr>
            <w:r>
              <w:rPr/>
              <w:t>  ​ ​ ​</w:t>
            </w:r>
          </w:p>
        </w:tc>
        <w:tc>
          <w:tcPr>
            <w:tcW w:w="915"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12/31/2025</w:t>
            </w:r>
          </w:p>
        </w:tc>
        <w:tc>
          <w:tcPr>
            <w:tcW w:w="346" w:type="dxa"/>
            <w:tcBorders/>
            <w:shd w:fill="E5E5E5" w:val="clear"/>
            <w:vAlign w:val="center"/>
          </w:tcPr>
          <w:p>
            <w:pPr>
              <w:pStyle w:val="TableContents"/>
              <w:bidi w:val="0"/>
              <w:spacing w:before="0" w:after="1"/>
              <w:ind w:left="0" w:right="0" w:hanging="0"/>
              <w:jc w:val="left"/>
              <w:rPr/>
            </w:pPr>
            <w:r>
              <w:rPr/>
              <w:t>  ​ ​ ​</w:t>
            </w:r>
          </w:p>
        </w:tc>
        <w:tc>
          <w:tcPr>
            <w:tcW w:w="825"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9/30/2025</w:t>
            </w:r>
          </w:p>
        </w:tc>
        <w:tc>
          <w:tcPr>
            <w:tcW w:w="346" w:type="dxa"/>
            <w:tcBorders/>
            <w:shd w:fill="E5E5E5" w:val="clear"/>
            <w:vAlign w:val="center"/>
          </w:tcPr>
          <w:p>
            <w:pPr>
              <w:pStyle w:val="TableContents"/>
              <w:bidi w:val="0"/>
              <w:spacing w:before="0" w:after="1"/>
              <w:ind w:left="0" w:right="0" w:hanging="0"/>
              <w:jc w:val="left"/>
              <w:rPr/>
            </w:pPr>
            <w:r>
              <w:rPr/>
              <w:t>  ​ ​ ​</w:t>
            </w:r>
          </w:p>
        </w:tc>
        <w:tc>
          <w:tcPr>
            <w:tcW w:w="1007"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8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10,023</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6,264</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3"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6,089</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6,186</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28,561</w:t>
            </w:r>
          </w:p>
        </w:tc>
      </w:tr>
      <w:tr>
        <w:trPr/>
        <w:tc>
          <w:tcPr>
            <w:tcW w:w="38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income tax benefit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(6,855)</w:t>
            </w:r>
          </w:p>
        </w:tc>
      </w:tr>
      <w:tr>
        <w:trPr/>
        <w:tc>
          <w:tcPr>
            <w:tcW w:w="38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interest expense, net of tax</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21,706</w:t>
            </w:r>
          </w:p>
        </w:tc>
      </w:tr>
      <w:tr>
        <w:trPr/>
        <w:tc>
          <w:tcPr>
            <w:tcW w:w="3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r>
      <w:tr>
        <w:trPr/>
        <w:tc>
          <w:tcPr>
            <w:tcW w:w="38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28,561</w:t>
            </w:r>
          </w:p>
        </w:tc>
      </w:tr>
      <w:tr>
        <w:trPr/>
        <w:tc>
          <w:tcPr>
            <w:tcW w:w="38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loss on early extinguishment of debt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(2,213)</w:t>
            </w:r>
          </w:p>
        </w:tc>
      </w:tr>
      <w:tr>
        <w:trPr/>
        <w:tc>
          <w:tcPr>
            <w:tcW w:w="38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income tax benefit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(5,580)</w:t>
            </w:r>
          </w:p>
        </w:tc>
      </w:tr>
      <w:tr>
        <w:trPr/>
        <w:tc>
          <w:tcPr>
            <w:tcW w:w="38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adjusted interest expense, net of tax</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20,768</w:t>
            </w:r>
          </w:p>
        </w:tc>
      </w:tr>
    </w:tbl>
    <w:p>
      <w:pPr>
        <w:pStyle w:val="TextBody"/>
        <w:bidi w:val="0"/>
        <w:spacing w:before="0" w:after="240"/>
        <w:ind w:left="0" w:right="0" w:hanging="0"/>
        <w:jc w:val="both"/>
        <w:rPr/>
      </w:pPr>
      <w:r>
        <w:rPr/>
        <w:t>​</w:t>
      </w:r>
    </w:p>
    <w:tbl>
      <w:tblPr>
        <w:tblW w:w="9845" w:type="dxa"/>
        <w:jc w:val="left"/>
        <w:tblInd w:w="0" w:type="dxa"/>
        <w:tblLayout w:type="fixed"/>
        <w:tblCellMar>
          <w:top w:w="0" w:type="dxa"/>
          <w:left w:w="0" w:type="dxa"/>
          <w:bottom w:w="0" w:type="dxa"/>
          <w:right w:w="0" w:type="dxa"/>
        </w:tblCellMar>
      </w:tblPr>
      <w:tblGrid>
        <w:gridCol w:w="7936"/>
        <w:gridCol w:w="346"/>
        <w:gridCol w:w="211"/>
        <w:gridCol w:w="961"/>
        <w:gridCol w:w="391"/>
      </w:tblGrid>
      <w:tr>
        <w:trPr/>
        <w:tc>
          <w:tcPr>
            <w:tcW w:w="7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7936" w:type="dxa"/>
            <w:tcBorders/>
            <w:shd w:fill="E5E5E5" w:val="clear"/>
            <w:vAlign w:val="center"/>
          </w:tcPr>
          <w:p>
            <w:pPr>
              <w:pStyle w:val="TableContents"/>
              <w:bidi w:val="0"/>
              <w:spacing w:before="0" w:after="1"/>
              <w:ind w:left="0" w:right="0" w:hanging="0"/>
              <w:jc w:val="left"/>
              <w:rPr/>
            </w:pPr>
            <w:r>
              <w:rPr/>
              <w:t>​</w:t>
            </w:r>
          </w:p>
        </w:tc>
        <w:tc>
          <w:tcPr>
            <w:tcW w:w="346" w:type="dxa"/>
            <w:tcBorders/>
            <w:shd w:fill="E5E5E5" w:val="clear"/>
            <w:vAlign w:val="center"/>
          </w:tcPr>
          <w:p>
            <w:pPr>
              <w:pStyle w:val="TableContents"/>
              <w:bidi w:val="0"/>
              <w:spacing w:before="0" w:after="1"/>
              <w:ind w:left="0" w:right="0" w:hanging="0"/>
              <w:jc w:val="left"/>
              <w:rPr/>
            </w:pPr>
            <w:r>
              <w:rPr/>
              <w:t>  ​ ​ ​</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Year-to-Date</w:t>
            </w:r>
          </w:p>
        </w:tc>
        <w:tc>
          <w:tcPr>
            <w:tcW w:w="391" w:type="dxa"/>
            <w:tcBorders/>
            <w:shd w:fill="E5E5E5" w:val="clear"/>
            <w:vAlign w:val="center"/>
          </w:tcPr>
          <w:p>
            <w:pPr>
              <w:pStyle w:val="TableContents"/>
              <w:bidi w:val="0"/>
              <w:spacing w:before="0" w:after="1"/>
              <w:ind w:left="0" w:right="0" w:hanging="0"/>
              <w:jc w:val="left"/>
              <w:rPr/>
            </w:pPr>
            <w:r>
              <w:rPr/>
              <w:t> </w:t>
            </w:r>
          </w:p>
        </w:tc>
      </w:tr>
      <w:tr>
        <w:trPr/>
        <w:tc>
          <w:tcPr>
            <w:tcW w:w="7936" w:type="dxa"/>
            <w:tcBorders/>
            <w:shd w:fill="E5E5E5"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Total Income</w:t>
            </w:r>
          </w:p>
        </w:tc>
        <w:tc>
          <w:tcPr>
            <w:tcW w:w="346" w:type="dxa"/>
            <w:tcBorders/>
            <w:shd w:fill="E5E5E5" w:val="clear"/>
            <w:vAlign w:val="center"/>
          </w:tcPr>
          <w:p>
            <w:pPr>
              <w:pStyle w:val="TableContents"/>
              <w:bidi w:val="0"/>
              <w:spacing w:before="0" w:after="1"/>
              <w:ind w:left="0" w:right="0" w:hanging="0"/>
              <w:jc w:val="left"/>
              <w:rPr/>
            </w:pPr>
            <w:r>
              <w:rPr/>
              <w:t>​</w:t>
            </w:r>
          </w:p>
        </w:tc>
        <w:tc>
          <w:tcPr>
            <w:tcW w:w="1172" w:type="dxa"/>
            <w:gridSpan w:val="2"/>
            <w:tcBorders/>
            <w:shd w:fill="E5E5E5" w:val="cle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91" w:type="dxa"/>
            <w:tcBorders/>
            <w:shd w:fill="E5E5E5" w:val="clear"/>
            <w:vAlign w:val="center"/>
          </w:tcPr>
          <w:p>
            <w:pPr>
              <w:pStyle w:val="TableContents"/>
              <w:bidi w:val="0"/>
              <w:spacing w:before="0" w:after="1"/>
              <w:ind w:left="0" w:right="0" w:hanging="0"/>
              <w:jc w:val="left"/>
              <w:rPr/>
            </w:pPr>
            <w:r>
              <w:rPr/>
              <w:t> </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350,414</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Restructuring and related charges, net of tax</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9,400</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adjusted interest expense, net of tax</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20,768</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380,582</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Average invested capital</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2,029,217</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Adjusted Return on Invested Capital</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18.8</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Return on invested capital calculated utilizing net income, as reported is as follows:</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pPr>
            <w:r>
              <w:rPr/>
              <w:t>  ​</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Net income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350,414</w:t>
            </w:r>
          </w:p>
        </w:tc>
        <w:tc>
          <w:tcPr>
            <w:tcW w:w="391" w:type="dxa"/>
            <w:tcBorders/>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interest expense, net of tax</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21,706</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372,120</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Average invested capital</w:t>
            </w:r>
          </w:p>
        </w:tc>
        <w:tc>
          <w:tcPr>
            <w:tcW w:w="346"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2,029,217</w:t>
            </w:r>
          </w:p>
        </w:tc>
        <w:tc>
          <w:tcPr>
            <w:tcW w:w="391" w:type="dxa"/>
            <w:tcBorders>
              <w:bottom w:val="single" w:sz="2" w:space="0" w:color="7F7F7F"/>
            </w:tcBorders>
            <w:tcMar>
              <w:bottom w:w="28" w:type="dxa"/>
            </w:tcMar>
            <w:vAlign w:val="center"/>
          </w:tcPr>
          <w:p>
            <w:pPr>
              <w:pStyle w:val="TableContents"/>
              <w:bidi w:val="0"/>
              <w:spacing w:before="0" w:after="1"/>
              <w:ind w:left="0" w:right="0" w:hanging="0"/>
              <w:jc w:val="left"/>
              <w:rPr/>
            </w:pPr>
            <w:r>
              <w:rPr/>
              <w:t>​</w:t>
            </w:r>
          </w:p>
        </w:tc>
      </w:tr>
      <w:tr>
        <w:trPr/>
        <w:tc>
          <w:tcPr>
            <w:tcW w:w="79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Return on Invested Capital</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18.3</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4535" w:type="dxa"/>
        <w:jc w:val="left"/>
        <w:tblInd w:w="0" w:type="dxa"/>
        <w:tblLayout w:type="fixed"/>
        <w:tblCellMar>
          <w:top w:w="0" w:type="dxa"/>
          <w:left w:w="0" w:type="dxa"/>
          <w:bottom w:w="0" w:type="dxa"/>
          <w:right w:w="0" w:type="dxa"/>
        </w:tblCellMar>
      </w:tblPr>
      <w:tblGrid>
        <w:gridCol w:w="124"/>
        <w:gridCol w:w="4411"/>
      </w:tblGrid>
      <w:tr>
        <w:trPr/>
        <w:tc>
          <w:tcPr>
            <w:tcW w:w="124"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mallCaps/>
                <w:sz w:val="20"/>
              </w:rPr>
              <w:t>Kennametal Inc.</w:t>
            </w:r>
            <w:r>
              <w:rPr>
                <w:rFonts w:ascii="Arial;Helvetica;sans-serif" w:hAnsi="Arial;Helvetica;sans-serif"/>
                <w:sz w:val="20"/>
              </w:rPr>
              <w:t xml:space="preserve"> 2026 Proxy Statement  |  A-4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58000" cy="480695"/>
            <wp:effectExtent l="0" t="0" r="0" b="0"/>
            <wp:docPr id="38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52" descr=""/>
                    <pic:cNvPicPr>
                      <a:picLocks noChangeAspect="1" noChangeArrowheads="1"/>
                    </pic:cNvPicPr>
                  </pic:nvPicPr>
                  <pic:blipFill>
                    <a:blip r:embed="rId153"/>
                    <a:stretch>
                      <a:fillRect/>
                    </a:stretch>
                  </pic:blipFill>
                  <pic:spPr bwMode="auto">
                    <a:xfrm>
                      <a:off x="0" y="0"/>
                      <a:ext cx="6858000" cy="480695"/>
                    </a:xfrm>
                    <a:prstGeom prst="rect">
                      <a:avLst/>
                    </a:prstGeom>
                  </pic:spPr>
                </pic:pic>
              </a:graphicData>
            </a:graphic>
          </wp:inline>
        </w:drawing>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Appendix A</w:t>
      </w:r>
    </w:p>
    <w:p>
      <w:pPr>
        <w:pStyle w:val="TextBody"/>
        <w:bidi w:val="0"/>
        <w:spacing w:before="0" w:after="120"/>
        <w:ind w:left="0" w:right="0" w:hanging="0"/>
        <w:jc w:val="left"/>
        <w:rPr>
          <w:rFonts w:ascii="Arial;Helvetica;sans-serif" w:hAnsi="Arial;Helvetica;sans-serif"/>
          <w:b/>
          <w:sz w:val="24"/>
        </w:rPr>
      </w:pPr>
      <w:r>
        <w:rPr>
          <w:rFonts w:ascii="Arial;Helvetica;sans-serif" w:hAnsi="Arial;Helvetica;sans-serif"/>
          <w:b/>
          <w:sz w:val="24"/>
        </w:rPr>
        <w:t>RETURN ON INVESTED CAPITAL (UNAUDITED)</w:t>
        <w:br/>
        <w:t>June 30, 2025 (in thousands, except percents)</w:t>
      </w:r>
    </w:p>
    <w:tbl>
      <w:tblPr>
        <w:tblW w:w="10205" w:type="dxa"/>
        <w:jc w:val="left"/>
        <w:tblInd w:w="0" w:type="dxa"/>
        <w:tblLayout w:type="fixed"/>
        <w:tblCellMar>
          <w:top w:w="0" w:type="dxa"/>
          <w:left w:w="0" w:type="dxa"/>
          <w:bottom w:w="0" w:type="dxa"/>
          <w:right w:w="0" w:type="dxa"/>
        </w:tblCellMar>
      </w:tblPr>
      <w:tblGrid>
        <w:gridCol w:w="992"/>
        <w:gridCol w:w="346"/>
        <w:gridCol w:w="211"/>
        <w:gridCol w:w="961"/>
        <w:gridCol w:w="346"/>
        <w:gridCol w:w="211"/>
        <w:gridCol w:w="961"/>
        <w:gridCol w:w="346"/>
        <w:gridCol w:w="211"/>
        <w:gridCol w:w="961"/>
        <w:gridCol w:w="346"/>
        <w:gridCol w:w="211"/>
        <w:gridCol w:w="961"/>
        <w:gridCol w:w="346"/>
        <w:gridCol w:w="211"/>
        <w:gridCol w:w="961"/>
        <w:gridCol w:w="346"/>
        <w:gridCol w:w="211"/>
        <w:gridCol w:w="1066"/>
      </w:tblGrid>
      <w:tr>
        <w:trPr/>
        <w:tc>
          <w:tcPr>
            <w:tcW w:w="9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992"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Invested Capital</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6/30/2025</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3/31/2025</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12/31/2024</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9/30/2024</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6/30/2024</w:t>
            </w:r>
          </w:p>
        </w:tc>
        <w:tc>
          <w:tcPr>
            <w:tcW w:w="346" w:type="dxa"/>
            <w:tcBorders/>
            <w:shd w:fill="E5E5E5" w:val="clear"/>
            <w:vAlign w:val="center"/>
          </w:tcPr>
          <w:p>
            <w:pPr>
              <w:pStyle w:val="TableContents"/>
              <w:bidi w:val="0"/>
              <w:spacing w:before="0" w:after="0"/>
              <w:ind w:left="0" w:right="0" w:hanging="0"/>
              <w:jc w:val="left"/>
              <w:rPr/>
            </w:pPr>
            <w:r>
              <w:rPr/>
              <w:t>  ​ ​ ​</w:t>
            </w:r>
          </w:p>
        </w:tc>
        <w:tc>
          <w:tcPr>
            <w:tcW w:w="127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99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Debt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597,765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609,147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597,754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597,608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597,357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599,926</w:t>
            </w:r>
          </w:p>
        </w:tc>
      </w:tr>
      <w:tr>
        <w:trPr/>
        <w:tc>
          <w:tcPr>
            <w:tcW w:w="99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equity</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1,324,648</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1,278,916</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1,260,101</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1,317,963</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1,288,599</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1,294,045</w:t>
            </w:r>
          </w:p>
        </w:tc>
      </w:tr>
      <w:tr>
        <w:trPr/>
        <w:tc>
          <w:tcPr>
            <w:tcW w:w="99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1,922,413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1,888,063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1,857,855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1,915,571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1,885,956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1,893,971</w:t>
            </w:r>
          </w:p>
        </w:tc>
      </w:tr>
    </w:tbl>
    <w:p>
      <w:pPr>
        <w:pStyle w:val="TextBody"/>
        <w:bidi w:val="0"/>
        <w:spacing w:before="0" w:after="0"/>
        <w:ind w:left="0" w:right="0" w:hanging="0"/>
        <w:jc w:val="left"/>
        <w:rPr/>
      </w:pPr>
      <w:r>
        <w:rPr/>
        <w:t>​</w:t>
      </w:r>
    </w:p>
    <w:tbl>
      <w:tblPr>
        <w:tblW w:w="9683" w:type="dxa"/>
        <w:jc w:val="left"/>
        <w:tblInd w:w="0" w:type="dxa"/>
        <w:tblLayout w:type="fixed"/>
        <w:tblCellMar>
          <w:top w:w="0" w:type="dxa"/>
          <w:left w:w="0" w:type="dxa"/>
          <w:bottom w:w="0" w:type="dxa"/>
          <w:right w:w="0" w:type="dxa"/>
        </w:tblCellMar>
      </w:tblPr>
      <w:tblGrid>
        <w:gridCol w:w="3796"/>
        <w:gridCol w:w="346"/>
        <w:gridCol w:w="218"/>
        <w:gridCol w:w="607"/>
        <w:gridCol w:w="286"/>
        <w:gridCol w:w="218"/>
        <w:gridCol w:w="607"/>
        <w:gridCol w:w="286"/>
        <w:gridCol w:w="242"/>
        <w:gridCol w:w="673"/>
        <w:gridCol w:w="286"/>
        <w:gridCol w:w="218"/>
        <w:gridCol w:w="607"/>
        <w:gridCol w:w="286"/>
        <w:gridCol w:w="211"/>
        <w:gridCol w:w="79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379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  ​ ​ ​</w:t>
            </w:r>
          </w:p>
        </w:tc>
        <w:tc>
          <w:tcPr>
            <w:tcW w:w="5541" w:type="dxa"/>
            <w:gridSpan w:val="14"/>
            <w:tcBorders>
              <w:bottom w:val="single" w:sz="2" w:space="0" w:color="000000"/>
            </w:tcBorders>
            <w:shd w:fill="E5E5E5"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796"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Interest Expense</w:t>
            </w:r>
          </w:p>
        </w:tc>
        <w:tc>
          <w:tcPr>
            <w:tcW w:w="346" w:type="dxa"/>
            <w:tcBorders/>
            <w:shd w:fill="E5E5E5" w:val="clear"/>
            <w:vAlign w:val="center"/>
          </w:tcPr>
          <w:p>
            <w:pPr>
              <w:pStyle w:val="TableContents"/>
              <w:bidi w:val="0"/>
              <w:spacing w:before="0" w:after="0"/>
              <w:ind w:left="0" w:right="0" w:hanging="0"/>
              <w:jc w:val="left"/>
              <w:rPr/>
            </w:pPr>
            <w:r>
              <w:rPr/>
              <w:t>  ​ ​</w:t>
            </w:r>
          </w:p>
        </w:tc>
        <w:tc>
          <w:tcPr>
            <w:tcW w:w="825"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6/30/2025</w:t>
            </w:r>
          </w:p>
        </w:tc>
        <w:tc>
          <w:tcPr>
            <w:tcW w:w="286" w:type="dxa"/>
            <w:tcBorders/>
            <w:shd w:fill="E5E5E5" w:val="clear"/>
            <w:vAlign w:val="center"/>
          </w:tcPr>
          <w:p>
            <w:pPr>
              <w:pStyle w:val="TableContents"/>
              <w:bidi w:val="0"/>
              <w:spacing w:before="0" w:after="0"/>
              <w:ind w:left="0" w:right="0" w:hanging="0"/>
              <w:jc w:val="left"/>
              <w:rPr/>
            </w:pPr>
            <w:r>
              <w:rPr/>
              <w:t>  ​ ​</w:t>
            </w:r>
          </w:p>
        </w:tc>
        <w:tc>
          <w:tcPr>
            <w:tcW w:w="825"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3/31/2025</w:t>
            </w:r>
          </w:p>
        </w:tc>
        <w:tc>
          <w:tcPr>
            <w:tcW w:w="286" w:type="dxa"/>
            <w:tcBorders/>
            <w:shd w:fill="E5E5E5" w:val="clear"/>
            <w:vAlign w:val="center"/>
          </w:tcPr>
          <w:p>
            <w:pPr>
              <w:pStyle w:val="TableContents"/>
              <w:bidi w:val="0"/>
              <w:spacing w:before="0" w:after="0"/>
              <w:ind w:left="0" w:right="0" w:hanging="0"/>
              <w:jc w:val="left"/>
              <w:rPr/>
            </w:pPr>
            <w:r>
              <w:rPr/>
              <w:t>  ​ ​</w:t>
            </w:r>
          </w:p>
        </w:tc>
        <w:tc>
          <w:tcPr>
            <w:tcW w:w="915"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12/31/2024</w:t>
            </w:r>
          </w:p>
        </w:tc>
        <w:tc>
          <w:tcPr>
            <w:tcW w:w="286" w:type="dxa"/>
            <w:tcBorders/>
            <w:shd w:fill="E5E5E5" w:val="clear"/>
            <w:vAlign w:val="center"/>
          </w:tcPr>
          <w:p>
            <w:pPr>
              <w:pStyle w:val="TableContents"/>
              <w:bidi w:val="0"/>
              <w:spacing w:before="0" w:after="0"/>
              <w:ind w:left="0" w:right="0" w:hanging="0"/>
              <w:jc w:val="left"/>
              <w:rPr/>
            </w:pPr>
            <w:r>
              <w:rPr/>
              <w:t>  ​ ​</w:t>
            </w:r>
          </w:p>
        </w:tc>
        <w:tc>
          <w:tcPr>
            <w:tcW w:w="825"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9/30/2024</w:t>
            </w:r>
          </w:p>
        </w:tc>
        <w:tc>
          <w:tcPr>
            <w:tcW w:w="286" w:type="dxa"/>
            <w:tcBorders/>
            <w:shd w:fill="E5E5E5" w:val="clear"/>
            <w:vAlign w:val="center"/>
          </w:tcPr>
          <w:p>
            <w:pPr>
              <w:pStyle w:val="TableContents"/>
              <w:bidi w:val="0"/>
              <w:spacing w:before="0" w:after="0"/>
              <w:ind w:left="0" w:right="0" w:hanging="0"/>
              <w:jc w:val="left"/>
              <w:rPr/>
            </w:pPr>
            <w:r>
              <w:rPr/>
              <w:t>  ​ ​</w:t>
            </w:r>
          </w:p>
        </w:tc>
        <w:tc>
          <w:tcPr>
            <w:tcW w:w="1007"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7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6,225</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6,213</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73"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6,180</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6,312</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24,930</w:t>
            </w:r>
          </w:p>
        </w:tc>
      </w:tr>
      <w:tr>
        <w:trPr/>
        <w:tc>
          <w:tcPr>
            <w:tcW w:w="37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income tax benefit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(6,282)</w:t>
            </w:r>
          </w:p>
        </w:tc>
      </w:tr>
      <w:tr>
        <w:trPr/>
        <w:tc>
          <w:tcPr>
            <w:tcW w:w="37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interest expense, net of tax</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18,648</w:t>
            </w:r>
          </w:p>
        </w:tc>
      </w:tr>
      <w:tr>
        <w:trPr/>
        <w:tc>
          <w:tcPr>
            <w:tcW w:w="379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adjusted interest expense, net of tax</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18,748</w:t>
            </w:r>
          </w:p>
        </w:tc>
      </w:tr>
    </w:tbl>
    <w:p>
      <w:pPr>
        <w:pStyle w:val="TextBody"/>
        <w:bidi w:val="0"/>
        <w:spacing w:before="0" w:after="0"/>
        <w:ind w:left="0" w:right="0" w:hanging="0"/>
        <w:jc w:val="left"/>
        <w:rPr/>
      </w:pPr>
      <w:r>
        <w:rPr/>
        <w:t>​</w:t>
      </w:r>
    </w:p>
    <w:tbl>
      <w:tblPr>
        <w:tblW w:w="9845" w:type="dxa"/>
        <w:jc w:val="left"/>
        <w:tblInd w:w="0" w:type="dxa"/>
        <w:tblLayout w:type="fixed"/>
        <w:tblCellMar>
          <w:top w:w="0" w:type="dxa"/>
          <w:left w:w="0" w:type="dxa"/>
          <w:bottom w:w="0" w:type="dxa"/>
          <w:right w:w="0" w:type="dxa"/>
        </w:tblCellMar>
      </w:tblPr>
      <w:tblGrid>
        <w:gridCol w:w="7936"/>
        <w:gridCol w:w="346"/>
        <w:gridCol w:w="211"/>
        <w:gridCol w:w="961"/>
        <w:gridCol w:w="391"/>
      </w:tblGrid>
      <w:tr>
        <w:trPr/>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7936" w:type="dxa"/>
            <w:tcBorders/>
            <w:shd w:fill="E5E5E5" w:val="clear"/>
            <w:vAlign w:val="center"/>
          </w:tcPr>
          <w:p>
            <w:pPr>
              <w:pStyle w:val="TableContents"/>
              <w:bidi w:val="0"/>
              <w:spacing w:before="0" w:after="0"/>
              <w:ind w:left="0" w:right="0" w:hanging="0"/>
              <w:jc w:val="left"/>
              <w:rPr/>
            </w:pPr>
            <w:r>
              <w:rPr/>
              <w:t>​</w:t>
            </w:r>
          </w:p>
        </w:tc>
        <w:tc>
          <w:tcPr>
            <w:tcW w:w="346" w:type="dxa"/>
            <w:tcBorders/>
            <w:shd w:fill="E5E5E5" w:val="clear"/>
            <w:vAlign w:val="center"/>
          </w:tcPr>
          <w:p>
            <w:pPr>
              <w:pStyle w:val="TableContents"/>
              <w:bidi w:val="0"/>
              <w:spacing w:before="0" w:after="0"/>
              <w:ind w:left="0" w:right="0" w:hanging="0"/>
              <w:jc w:val="left"/>
              <w:rPr/>
            </w:pPr>
            <w:r>
              <w:rPr/>
              <w:t>  ​ ​ ​</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Year-to-Date</w:t>
            </w:r>
          </w:p>
        </w:tc>
        <w:tc>
          <w:tcPr>
            <w:tcW w:w="391" w:type="dxa"/>
            <w:tcBorders/>
            <w:shd w:fill="E5E5E5" w:val="clear"/>
            <w:vAlign w:val="center"/>
          </w:tcPr>
          <w:p>
            <w:pPr>
              <w:pStyle w:val="TableContents"/>
              <w:bidi w:val="0"/>
              <w:spacing w:before="0" w:after="0"/>
              <w:ind w:left="0" w:right="0" w:hanging="0"/>
              <w:jc w:val="left"/>
              <w:rPr/>
            </w:pPr>
            <w:r>
              <w:rPr/>
              <w:t> </w:t>
            </w:r>
          </w:p>
        </w:tc>
      </w:tr>
      <w:tr>
        <w:trPr/>
        <w:tc>
          <w:tcPr>
            <w:tcW w:w="7936" w:type="dxa"/>
            <w:tcBorders/>
            <w:shd w:fill="E5E5E5"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Income</w:t>
            </w:r>
          </w:p>
        </w:tc>
        <w:tc>
          <w:tcPr>
            <w:tcW w:w="346" w:type="dxa"/>
            <w:tcBorders/>
            <w:shd w:fill="E5E5E5" w:val="clear"/>
            <w:vAlign w:val="center"/>
          </w:tcPr>
          <w:p>
            <w:pPr>
              <w:pStyle w:val="TableContents"/>
              <w:bidi w:val="0"/>
              <w:spacing w:before="0" w:after="0"/>
              <w:ind w:left="0" w:right="0" w:hanging="0"/>
              <w:jc w:val="left"/>
              <w:rPr/>
            </w:pPr>
            <w:r>
              <w:rPr/>
              <w:t>​</w:t>
            </w:r>
          </w:p>
        </w:tc>
        <w:tc>
          <w:tcPr>
            <w:tcW w:w="1172" w:type="dxa"/>
            <w:gridSpan w:val="2"/>
            <w:tcBorders/>
            <w:shd w:fill="E5E5E5"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91" w:type="dxa"/>
            <w:tcBorders/>
            <w:shd w:fill="E5E5E5" w:val="cle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98,708</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Restructuring and related charges, net of tax</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10,475</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divestiture</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1,142</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adjusted interest expense, net of tax</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18,748</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129,073</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Average invested capital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1,893,971</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Return on Invested Capital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6.8</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Return on invested capital calculated utilizing net income, as reported is as follows:</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pPr>
            <w:r>
              <w:rPr/>
              <w:t>  ​</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98,708</w:t>
            </w:r>
          </w:p>
        </w:tc>
        <w:tc>
          <w:tcPr>
            <w:tcW w:w="391" w:type="dxa"/>
            <w:tcBorders/>
            <w:vAlign w:val="center"/>
          </w:tcPr>
          <w:p>
            <w:pPr>
              <w:pStyle w:val="TableContents"/>
              <w:bidi w:val="0"/>
              <w:spacing w:before="0" w:after="0"/>
              <w:ind w:left="0" w:right="0" w:hanging="0"/>
              <w:jc w:val="left"/>
              <w:rPr/>
            </w:pPr>
            <w:r>
              <w:rPr/>
              <w:t>​</w:t>
            </w:r>
          </w:p>
        </w:tc>
      </w:tr>
      <w:tr>
        <w:trPr/>
        <w:tc>
          <w:tcPr>
            <w:tcW w:w="79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interest expense, net of tax</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18,648</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117,356</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Average invested capital</w:t>
            </w:r>
          </w:p>
        </w:tc>
        <w:tc>
          <w:tcPr>
            <w:tcW w:w="346"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7F7F7F"/>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7F7F7F"/>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1,893,971</w:t>
            </w:r>
          </w:p>
        </w:tc>
        <w:tc>
          <w:tcPr>
            <w:tcW w:w="391" w:type="dxa"/>
            <w:tcBorders>
              <w:bottom w:val="single" w:sz="2" w:space="0" w:color="7F7F7F"/>
            </w:tcBorders>
            <w:tcMar>
              <w:bottom w:w="28" w:type="dxa"/>
            </w:tcMar>
            <w:vAlign w:val="center"/>
          </w:tcPr>
          <w:p>
            <w:pPr>
              <w:pStyle w:val="TableContents"/>
              <w:bidi w:val="0"/>
              <w:spacing w:before="0" w:after="0"/>
              <w:ind w:left="0" w:right="0" w:hanging="0"/>
              <w:jc w:val="left"/>
              <w:rPr/>
            </w:pPr>
            <w:r>
              <w:rPr/>
              <w:t>​</w:t>
            </w:r>
          </w:p>
        </w:tc>
      </w:tr>
      <w:tr>
        <w:trPr/>
        <w:tc>
          <w:tcPr>
            <w:tcW w:w="79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Return on Invested Capital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6.2</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4604" w:type="dxa"/>
        <w:jc w:val="left"/>
        <w:tblInd w:w="0" w:type="dxa"/>
        <w:tblLayout w:type="fixed"/>
        <w:tblCellMar>
          <w:top w:w="0" w:type="dxa"/>
          <w:left w:w="0" w:type="dxa"/>
          <w:bottom w:w="0" w:type="dxa"/>
          <w:right w:w="0" w:type="dxa"/>
        </w:tblCellMar>
      </w:tblPr>
      <w:tblGrid>
        <w:gridCol w:w="4381"/>
        <w:gridCol w:w="223"/>
      </w:tblGrid>
      <w:tr>
        <w:trPr/>
        <w:tc>
          <w:tcPr>
            <w:tcW w:w="438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A-5  |  </w:t>
            </w:r>
            <w:r>
              <w:rPr>
                <w:rFonts w:ascii="Arial;Helvetica;sans-serif" w:hAnsi="Arial;Helvetica;sans-serif"/>
                <w:smallCaps/>
                <w:sz w:val="20"/>
              </w:rPr>
              <w:t>Kennametal Inc.</w:t>
            </w:r>
            <w:r>
              <w:rPr>
                <w:rFonts w:ascii="Arial;Helvetica;sans-serif" w:hAnsi="Arial;Helvetica;sans-serif"/>
                <w:sz w:val="20"/>
              </w:rPr>
              <w:t xml:space="preserve"> 2026 Proxy Statement</w:t>
            </w:r>
          </w:p>
        </w:tc>
        <w:tc>
          <w:tcPr>
            <w:tcW w:w="223"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876415" cy="474980"/>
            <wp:effectExtent l="0" t="0" r="0" b="0"/>
            <wp:docPr id="38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53" descr=""/>
                    <pic:cNvPicPr>
                      <a:picLocks noChangeAspect="1" noChangeArrowheads="1"/>
                    </pic:cNvPicPr>
                  </pic:nvPicPr>
                  <pic:blipFill>
                    <a:blip r:embed="rId154"/>
                    <a:stretch>
                      <a:fillRect/>
                    </a:stretch>
                  </pic:blipFill>
                  <pic:spPr bwMode="auto">
                    <a:xfrm>
                      <a:off x="0" y="0"/>
                      <a:ext cx="6876415" cy="474980"/>
                    </a:xfrm>
                    <a:prstGeom prst="rect">
                      <a:avLst/>
                    </a:prstGeom>
                  </pic:spPr>
                </pic:pic>
              </a:graphicData>
            </a:graphic>
          </wp:inline>
        </w:drawing>
      </w:r>
    </w:p>
    <w:p>
      <w:pPr>
        <w:pStyle w:val="TextBody"/>
        <w:bidi w:val="0"/>
        <w:spacing w:before="0" w:after="12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80"/>
        <w:ind w:left="0" w:right="0" w:hanging="0"/>
        <w:jc w:val="left"/>
        <w:rPr/>
      </w:pPr>
      <w:r>
        <w:rPr/>
        <w:t>​</w:t>
      </w:r>
    </w:p>
    <w:p>
      <w:pPr>
        <w:pStyle w:val="TextBody"/>
        <w:bidi w:val="0"/>
        <w:spacing w:before="0" w:after="240"/>
        <w:ind w:left="0" w:right="0" w:hanging="0"/>
        <w:jc w:val="right"/>
        <w:rPr/>
      </w:pPr>
      <w:bookmarkStart w:id="548" w:name="Appendix_B"/>
      <w:bookmarkEnd w:id="548"/>
      <w:r>
        <w:rPr/>
        <w:t>​</w:t>
      </w:r>
    </w:p>
    <w:p>
      <w:pPr>
        <w:pStyle w:val="TextBody"/>
        <w:bidi w:val="0"/>
        <w:spacing w:before="0" w:after="0"/>
        <w:ind w:left="0" w:right="0" w:hanging="0"/>
        <w:jc w:val="center"/>
        <w:rPr/>
      </w:pPr>
      <w:r>
        <w:rPr/>
        <w:drawing>
          <wp:inline distT="0" distB="0" distL="0" distR="0">
            <wp:extent cx="6492240" cy="8346440"/>
            <wp:effectExtent l="0" t="0" r="0" b="0"/>
            <wp:docPr id="38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54" descr=""/>
                    <pic:cNvPicPr>
                      <a:picLocks noChangeAspect="1" noChangeArrowheads="1"/>
                    </pic:cNvPicPr>
                  </pic:nvPicPr>
                  <pic:blipFill>
                    <a:blip r:embed="rId155"/>
                    <a:stretch>
                      <a:fillRect/>
                    </a:stretch>
                  </pic:blipFill>
                  <pic:spPr bwMode="auto">
                    <a:xfrm>
                      <a:off x="0" y="0"/>
                      <a:ext cx="6492240" cy="8346440"/>
                    </a:xfrm>
                    <a:prstGeom prst="rect">
                      <a:avLst/>
                    </a:prstGeom>
                  </pic:spPr>
                </pic:pic>
              </a:graphicData>
            </a:graphic>
          </wp:inline>
        </w:drawing>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6.jpeg"/><Relationship Id="rId20" Type="http://schemas.openxmlformats.org/officeDocument/2006/relationships/image" Target="media/image18.jpeg"/><Relationship Id="rId21" Type="http://schemas.openxmlformats.org/officeDocument/2006/relationships/image" Target="media/image16.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19.jpeg"/><Relationship Id="rId29" Type="http://schemas.openxmlformats.org/officeDocument/2006/relationships/image" Target="media/image21.jpeg"/><Relationship Id="rId30" Type="http://schemas.openxmlformats.org/officeDocument/2006/relationships/image" Target="media/image20.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19.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0.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19.jpeg"/><Relationship Id="rId40" Type="http://schemas.openxmlformats.org/officeDocument/2006/relationships/image" Target="media/image28.jpeg"/><Relationship Id="rId41" Type="http://schemas.openxmlformats.org/officeDocument/2006/relationships/image" Target="media/image29.jpeg"/><Relationship Id="rId42" Type="http://schemas.openxmlformats.org/officeDocument/2006/relationships/image" Target="media/image20.jpeg"/><Relationship Id="rId43" Type="http://schemas.openxmlformats.org/officeDocument/2006/relationships/image" Target="media/image30.jpeg"/><Relationship Id="rId44" Type="http://schemas.openxmlformats.org/officeDocument/2006/relationships/image" Target="media/image31.jpeg"/><Relationship Id="rId45" Type="http://schemas.openxmlformats.org/officeDocument/2006/relationships/image" Target="media/image19.jpeg"/><Relationship Id="rId46" Type="http://schemas.openxmlformats.org/officeDocument/2006/relationships/image" Target="media/image20.jpeg"/><Relationship Id="rId47" Type="http://schemas.openxmlformats.org/officeDocument/2006/relationships/image" Target="media/image19.jpeg"/><Relationship Id="rId48" Type="http://schemas.openxmlformats.org/officeDocument/2006/relationships/image" Target="media/image20.jpeg"/><Relationship Id="rId49" Type="http://schemas.openxmlformats.org/officeDocument/2006/relationships/image" Target="media/image19.jpeg"/><Relationship Id="rId50" Type="http://schemas.openxmlformats.org/officeDocument/2006/relationships/image" Target="media/image20.jpeg"/><Relationship Id="rId51" Type="http://schemas.openxmlformats.org/officeDocument/2006/relationships/image" Target="media/image19.jpeg"/><Relationship Id="rId52" Type="http://schemas.openxmlformats.org/officeDocument/2006/relationships/image" Target="media/image20.jpeg"/><Relationship Id="rId53" Type="http://schemas.openxmlformats.org/officeDocument/2006/relationships/image" Target="media/image19.jpeg"/><Relationship Id="rId54" Type="http://schemas.openxmlformats.org/officeDocument/2006/relationships/image" Target="media/image20.jpeg"/><Relationship Id="rId55" Type="http://schemas.openxmlformats.org/officeDocument/2006/relationships/image" Target="media/image32.gif"/><Relationship Id="rId56" Type="http://schemas.openxmlformats.org/officeDocument/2006/relationships/image" Target="media/image33.gif"/><Relationship Id="rId57" Type="http://schemas.openxmlformats.org/officeDocument/2006/relationships/image" Target="media/image34.gif"/><Relationship Id="rId58" Type="http://schemas.openxmlformats.org/officeDocument/2006/relationships/image" Target="media/image35.gif"/><Relationship Id="rId59" Type="http://schemas.openxmlformats.org/officeDocument/2006/relationships/image" Target="media/image36.jpeg"/><Relationship Id="rId60" Type="http://schemas.openxmlformats.org/officeDocument/2006/relationships/image" Target="media/image36.jpeg"/><Relationship Id="rId61" Type="http://schemas.openxmlformats.org/officeDocument/2006/relationships/image" Target="media/image36.jpeg"/><Relationship Id="rId62" Type="http://schemas.openxmlformats.org/officeDocument/2006/relationships/image" Target="media/image36.jpeg"/><Relationship Id="rId63" Type="http://schemas.openxmlformats.org/officeDocument/2006/relationships/image" Target="media/image36.jpeg"/><Relationship Id="rId64" Type="http://schemas.openxmlformats.org/officeDocument/2006/relationships/image" Target="media/image36.jpeg"/><Relationship Id="rId65" Type="http://schemas.openxmlformats.org/officeDocument/2006/relationships/image" Target="media/image36.jpeg"/><Relationship Id="rId66" Type="http://schemas.openxmlformats.org/officeDocument/2006/relationships/image" Target="media/image36.jpeg"/><Relationship Id="rId67" Type="http://schemas.openxmlformats.org/officeDocument/2006/relationships/image" Target="media/image36.jpeg"/><Relationship Id="rId68" Type="http://schemas.openxmlformats.org/officeDocument/2006/relationships/image" Target="media/image36.jpeg"/><Relationship Id="rId69" Type="http://schemas.openxmlformats.org/officeDocument/2006/relationships/image" Target="media/image36.jpeg"/><Relationship Id="rId70" Type="http://schemas.openxmlformats.org/officeDocument/2006/relationships/image" Target="media/image36.jpeg"/><Relationship Id="rId71" Type="http://schemas.openxmlformats.org/officeDocument/2006/relationships/image" Target="media/image36.jpeg"/><Relationship Id="rId72" Type="http://schemas.openxmlformats.org/officeDocument/2006/relationships/image" Target="media/image36.jpeg"/><Relationship Id="rId73" Type="http://schemas.openxmlformats.org/officeDocument/2006/relationships/image" Target="media/image19.jpeg"/><Relationship Id="rId74" Type="http://schemas.openxmlformats.org/officeDocument/2006/relationships/image" Target="media/image20.jpeg"/><Relationship Id="rId75" Type="http://schemas.openxmlformats.org/officeDocument/2006/relationships/image" Target="media/image19.jpeg"/><Relationship Id="rId76" Type="http://schemas.openxmlformats.org/officeDocument/2006/relationships/image" Target="media/image20.jpeg"/><Relationship Id="rId77" Type="http://schemas.openxmlformats.org/officeDocument/2006/relationships/image" Target="media/image19.jpeg"/><Relationship Id="rId78" Type="http://schemas.openxmlformats.org/officeDocument/2006/relationships/image" Target="media/image20.jpeg"/><Relationship Id="rId79" Type="http://schemas.openxmlformats.org/officeDocument/2006/relationships/image" Target="media/image19.jpeg"/><Relationship Id="rId80" Type="http://schemas.openxmlformats.org/officeDocument/2006/relationships/image" Target="media/image20.jpeg"/><Relationship Id="rId81" Type="http://schemas.openxmlformats.org/officeDocument/2006/relationships/image" Target="media/image19.jpeg"/><Relationship Id="rId82" Type="http://schemas.openxmlformats.org/officeDocument/2006/relationships/image" Target="media/image21.jpeg"/><Relationship Id="rId83" Type="http://schemas.openxmlformats.org/officeDocument/2006/relationships/image" Target="media/image20.jpeg"/><Relationship Id="rId84" Type="http://schemas.openxmlformats.org/officeDocument/2006/relationships/image" Target="media/image19.jpeg"/><Relationship Id="rId85" Type="http://schemas.openxmlformats.org/officeDocument/2006/relationships/image" Target="media/image20.jpeg"/><Relationship Id="rId86" Type="http://schemas.openxmlformats.org/officeDocument/2006/relationships/image" Target="media/image19.jpeg"/><Relationship Id="rId87" Type="http://schemas.openxmlformats.org/officeDocument/2006/relationships/image" Target="media/image20.jpeg"/><Relationship Id="rId88" Type="http://schemas.openxmlformats.org/officeDocument/2006/relationships/image" Target="media/image19.jpeg"/><Relationship Id="rId89" Type="http://schemas.openxmlformats.org/officeDocument/2006/relationships/image" Target="media/image37.jpeg"/><Relationship Id="rId90" Type="http://schemas.openxmlformats.org/officeDocument/2006/relationships/image" Target="media/image20.jpeg"/><Relationship Id="rId91" Type="http://schemas.openxmlformats.org/officeDocument/2006/relationships/image" Target="media/image19.jpeg"/><Relationship Id="rId92" Type="http://schemas.openxmlformats.org/officeDocument/2006/relationships/image" Target="media/image20.jpeg"/><Relationship Id="rId93" Type="http://schemas.openxmlformats.org/officeDocument/2006/relationships/image" Target="media/image19.jpeg"/><Relationship Id="rId94" Type="http://schemas.openxmlformats.org/officeDocument/2006/relationships/image" Target="media/image20.jpeg"/><Relationship Id="rId95" Type="http://schemas.openxmlformats.org/officeDocument/2006/relationships/image" Target="media/image19.jpeg"/><Relationship Id="rId96" Type="http://schemas.openxmlformats.org/officeDocument/2006/relationships/image" Target="media/image20.jpeg"/><Relationship Id="rId97" Type="http://schemas.openxmlformats.org/officeDocument/2006/relationships/image" Target="media/image19.jpeg"/><Relationship Id="rId98" Type="http://schemas.openxmlformats.org/officeDocument/2006/relationships/image" Target="media/image20.jpeg"/><Relationship Id="rId99" Type="http://schemas.openxmlformats.org/officeDocument/2006/relationships/image" Target="media/image19.jpeg"/><Relationship Id="rId100" Type="http://schemas.openxmlformats.org/officeDocument/2006/relationships/image" Target="media/image20.jpeg"/><Relationship Id="rId101" Type="http://schemas.openxmlformats.org/officeDocument/2006/relationships/image" Target="media/image19.jpeg"/><Relationship Id="rId102" Type="http://schemas.openxmlformats.org/officeDocument/2006/relationships/image" Target="media/image20.jpeg"/><Relationship Id="rId103" Type="http://schemas.openxmlformats.org/officeDocument/2006/relationships/image" Target="media/image19.jpeg"/><Relationship Id="rId104" Type="http://schemas.openxmlformats.org/officeDocument/2006/relationships/image" Target="media/image20.jpeg"/><Relationship Id="rId105" Type="http://schemas.openxmlformats.org/officeDocument/2006/relationships/image" Target="media/image19.jpeg"/><Relationship Id="rId106" Type="http://schemas.openxmlformats.org/officeDocument/2006/relationships/image" Target="media/image20.jpeg"/><Relationship Id="rId107" Type="http://schemas.openxmlformats.org/officeDocument/2006/relationships/image" Target="media/image19.jpeg"/><Relationship Id="rId108" Type="http://schemas.openxmlformats.org/officeDocument/2006/relationships/image" Target="media/image20.jpeg"/><Relationship Id="rId109" Type="http://schemas.openxmlformats.org/officeDocument/2006/relationships/image" Target="media/image19.jpeg"/><Relationship Id="rId110" Type="http://schemas.openxmlformats.org/officeDocument/2006/relationships/image" Target="media/image20.jpeg"/><Relationship Id="rId111" Type="http://schemas.openxmlformats.org/officeDocument/2006/relationships/image" Target="media/image19.jpeg"/><Relationship Id="rId112" Type="http://schemas.openxmlformats.org/officeDocument/2006/relationships/image" Target="media/image20.jpeg"/><Relationship Id="rId113" Type="http://schemas.openxmlformats.org/officeDocument/2006/relationships/image" Target="media/image19.jpeg"/><Relationship Id="rId114" Type="http://schemas.openxmlformats.org/officeDocument/2006/relationships/image" Target="media/image20.jpeg"/><Relationship Id="rId115" Type="http://schemas.openxmlformats.org/officeDocument/2006/relationships/image" Target="media/image19.jpeg"/><Relationship Id="rId116" Type="http://schemas.openxmlformats.org/officeDocument/2006/relationships/image" Target="media/image20.jpeg"/><Relationship Id="rId117" Type="http://schemas.openxmlformats.org/officeDocument/2006/relationships/image" Target="media/image19.jpeg"/><Relationship Id="rId118" Type="http://schemas.openxmlformats.org/officeDocument/2006/relationships/image" Target="media/image20.jpeg"/><Relationship Id="rId119" Type="http://schemas.openxmlformats.org/officeDocument/2006/relationships/image" Target="media/image19.jpeg"/><Relationship Id="rId120" Type="http://schemas.openxmlformats.org/officeDocument/2006/relationships/image" Target="media/image20.jpeg"/><Relationship Id="rId121" Type="http://schemas.openxmlformats.org/officeDocument/2006/relationships/image" Target="media/image19.jpeg"/><Relationship Id="rId122" Type="http://schemas.openxmlformats.org/officeDocument/2006/relationships/image" Target="media/image20.jpeg"/><Relationship Id="rId123" Type="http://schemas.openxmlformats.org/officeDocument/2006/relationships/image" Target="media/image19.jpeg"/><Relationship Id="rId124" Type="http://schemas.openxmlformats.org/officeDocument/2006/relationships/image" Target="media/image20.jpeg"/><Relationship Id="rId125" Type="http://schemas.openxmlformats.org/officeDocument/2006/relationships/image" Target="media/image19.jpeg"/><Relationship Id="rId126" Type="http://schemas.openxmlformats.org/officeDocument/2006/relationships/image" Target="media/image20.jpeg"/><Relationship Id="rId127" Type="http://schemas.openxmlformats.org/officeDocument/2006/relationships/image" Target="media/image19.jpeg"/><Relationship Id="rId128" Type="http://schemas.openxmlformats.org/officeDocument/2006/relationships/image" Target="media/image20.jpeg"/><Relationship Id="rId129" Type="http://schemas.openxmlformats.org/officeDocument/2006/relationships/image" Target="media/image19.jpeg"/><Relationship Id="rId130" Type="http://schemas.openxmlformats.org/officeDocument/2006/relationships/image" Target="media/image20.jpeg"/><Relationship Id="rId131" Type="http://schemas.openxmlformats.org/officeDocument/2006/relationships/image" Target="media/image19.jpeg"/><Relationship Id="rId132" Type="http://schemas.openxmlformats.org/officeDocument/2006/relationships/image" Target="media/image20.jpeg"/><Relationship Id="rId133" Type="http://schemas.openxmlformats.org/officeDocument/2006/relationships/image" Target="media/image19.jpeg"/><Relationship Id="rId134" Type="http://schemas.openxmlformats.org/officeDocument/2006/relationships/image" Target="media/image20.jpeg"/><Relationship Id="rId135" Type="http://schemas.openxmlformats.org/officeDocument/2006/relationships/image" Target="media/image38.jpeg"/><Relationship Id="rId136" Type="http://schemas.openxmlformats.org/officeDocument/2006/relationships/image" Target="media/image39.jpeg"/><Relationship Id="rId137" Type="http://schemas.openxmlformats.org/officeDocument/2006/relationships/image" Target="media/image19.jpeg"/><Relationship Id="rId138" Type="http://schemas.openxmlformats.org/officeDocument/2006/relationships/image" Target="media/image40.jpeg"/><Relationship Id="rId139" Type="http://schemas.openxmlformats.org/officeDocument/2006/relationships/image" Target="media/image20.jpeg"/><Relationship Id="rId140" Type="http://schemas.openxmlformats.org/officeDocument/2006/relationships/image" Target="media/image41.jpeg"/><Relationship Id="rId141" Type="http://schemas.openxmlformats.org/officeDocument/2006/relationships/image" Target="media/image42.jpeg"/><Relationship Id="rId142" Type="http://schemas.openxmlformats.org/officeDocument/2006/relationships/image" Target="media/image19.jpeg"/><Relationship Id="rId143" Type="http://schemas.openxmlformats.org/officeDocument/2006/relationships/image" Target="media/image21.jpeg"/><Relationship Id="rId144" Type="http://schemas.openxmlformats.org/officeDocument/2006/relationships/image" Target="media/image20.jpeg"/><Relationship Id="rId145" Type="http://schemas.openxmlformats.org/officeDocument/2006/relationships/image" Target="media/image19.jpeg"/><Relationship Id="rId146" Type="http://schemas.openxmlformats.org/officeDocument/2006/relationships/image" Target="media/image20.jpeg"/><Relationship Id="rId147" Type="http://schemas.openxmlformats.org/officeDocument/2006/relationships/image" Target="media/image19.jpeg"/><Relationship Id="rId148" Type="http://schemas.openxmlformats.org/officeDocument/2006/relationships/image" Target="media/image20.jpeg"/><Relationship Id="rId149" Type="http://schemas.openxmlformats.org/officeDocument/2006/relationships/image" Target="media/image19.jpeg"/><Relationship Id="rId150" Type="http://schemas.openxmlformats.org/officeDocument/2006/relationships/image" Target="media/image20.jpeg"/><Relationship Id="rId151" Type="http://schemas.openxmlformats.org/officeDocument/2006/relationships/image" Target="media/image19.jpeg"/><Relationship Id="rId152" Type="http://schemas.openxmlformats.org/officeDocument/2006/relationships/image" Target="media/image20.jpeg"/><Relationship Id="rId153" Type="http://schemas.openxmlformats.org/officeDocument/2006/relationships/image" Target="media/image19.jpeg"/><Relationship Id="rId154" Type="http://schemas.openxmlformats.org/officeDocument/2006/relationships/image" Target="media/image20.jpeg"/><Relationship Id="rId155" Type="http://schemas.openxmlformats.org/officeDocument/2006/relationships/image" Target="media/image43.jpeg"/><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45446</Words>
  <Characters>251654</Characters>
  <CharactersWithSpaces>301584</CharactersWithSpaces>
  <Paragraphs>12934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