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Bersaglini Clark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6,698</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12,917</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6,846</w:t>
            </w:r>
            <w:r>
              <w:rPr>
                <w:rFonts w:ascii="Times;serif" w:hAnsi="Times;serif"/>
                <w:color w:val="008000"/>
                <w:position w:val="7"/>
                <w:sz w:val="16"/>
                <w:sz w:val="20"/>
                <w:shd w:fill="FFFFFF" w:val="clear"/>
              </w:rPr>
              <w:t>(2)</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19,763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6,698 performance stock units deemed to have been earned by the Compensation and Human Capital Committee,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6,846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C. David Bersaglini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071"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4209</Characters>
  <CharactersWithSpaces>4913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