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_doc.xml.htm"/>
      <w:bookmarkStart w:id="1" w:name="ksprimary_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Reilly Carlonda R.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525 WILLIAM PENN PLACE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33RD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PITTSBURGH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15219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KENNAMETAL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KMT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Vice 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3,135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31.22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50,004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6,251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31.22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43,753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29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60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29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2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3,135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3,135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6,272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6,555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6,555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6,555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1 for 1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Restricted stock units are subject to time-based vesting and are disbursed in three equal annual installments commencing on the first anniversary date of the grant date, subject to continued employment with the company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Michelle R. Keating, as attorney-in-fact for Carlonda Reilly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53234" TargetMode="External"/><Relationship Id="rId5" Type="http://schemas.openxmlformats.org/officeDocument/2006/relationships/hyperlink" Target="http://www.sec.gov/cgi-bin/browse-edgar?action=getcompany&amp;CIK=000005524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644</Words>
  <Characters>3465</Characters>
  <CharactersWithSpaces>4008</CharactersWithSpaces>
  <Paragraphs>129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