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Chowbey Sanjay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WILLIAM PENN PLACE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909"/>
        <w:gridCol w:w="432"/>
        <w:gridCol w:w="743"/>
        <w:gridCol w:w="1478"/>
        <w:gridCol w:w="970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25,372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31.22</w:t>
            </w:r>
          </w:p>
        </w:tc>
        <w:tc>
          <w:tcPr>
            <w:tcW w:w="14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258,995.373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19,156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31.22</w:t>
            </w:r>
          </w:p>
        </w:tc>
        <w:tc>
          <w:tcPr>
            <w:tcW w:w="14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239,839.373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6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25,372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25,372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50,746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54,969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54,969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54,969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540.35 shares held in the Kennametal Inc. 401(k) Plan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Restricted stock units are subject to time-based vesting and are disbursed in three equal annual installments commencing on the first anniversary date of the grant date, subject to continued employment with the company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Keating, as attorney-in-fact for Sanjay K. Chowbey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2435" TargetMode="External"/><Relationship Id="rId5" Type="http://schemas.openxmlformats.org/officeDocument/2006/relationships/hyperlink" Target="http://www.sec.gov/cgi-bin/browse-edgar?action=getcompany&amp;CIK=0000055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656</Words>
  <Characters>3544</Characters>
  <CharactersWithSpaces>4098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